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92300" w14:textId="77803F8F" w:rsidR="00484AC1" w:rsidRDefault="00C02092">
      <w:pPr>
        <w:rPr>
          <w:b/>
          <w:bCs/>
        </w:rPr>
      </w:pPr>
      <w:r>
        <w:rPr>
          <w:rFonts w:ascii="Times New Roman"/>
          <w:noProof/>
          <w:sz w:val="20"/>
        </w:rPr>
        <w:drawing>
          <wp:inline distT="0" distB="0" distL="0" distR="0" wp14:anchorId="0E134312" wp14:editId="1400AF3B">
            <wp:extent cx="2010018" cy="67970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010018" cy="679703"/>
                    </a:xfrm>
                    <a:prstGeom prst="rect">
                      <a:avLst/>
                    </a:prstGeom>
                  </pic:spPr>
                </pic:pic>
              </a:graphicData>
            </a:graphic>
          </wp:inline>
        </w:drawing>
      </w:r>
    </w:p>
    <w:p w14:paraId="07806C94" w14:textId="0DCE4BA5" w:rsidR="00484AC1" w:rsidRDefault="00AE339C" w:rsidP="00542B78">
      <w:pPr>
        <w:pStyle w:val="Heading1"/>
        <w:rPr>
          <w:rFonts w:eastAsiaTheme="majorEastAsia" w:cstheme="majorBidi"/>
          <w:sz w:val="32"/>
          <w:szCs w:val="32"/>
        </w:rPr>
      </w:pPr>
      <w:r w:rsidRPr="00542B78">
        <w:rPr>
          <w:rFonts w:eastAsiaTheme="majorEastAsia" w:cstheme="majorBidi"/>
          <w:sz w:val="32"/>
          <w:szCs w:val="32"/>
        </w:rPr>
        <w:t>Record of processing activity N</w:t>
      </w:r>
      <w:r w:rsidR="2C396747" w:rsidRPr="00542B78">
        <w:rPr>
          <w:rFonts w:eastAsiaTheme="majorEastAsia" w:cstheme="majorBidi"/>
          <w:sz w:val="32"/>
          <w:szCs w:val="32"/>
        </w:rPr>
        <w:t>o</w:t>
      </w:r>
      <w:r w:rsidRPr="00542B78">
        <w:rPr>
          <w:rFonts w:eastAsiaTheme="majorEastAsia" w:cstheme="majorBidi"/>
          <w:sz w:val="32"/>
          <w:szCs w:val="32"/>
        </w:rPr>
        <w:t xml:space="preserve"> </w:t>
      </w:r>
      <w:r w:rsidR="002F0136" w:rsidRPr="00542B78">
        <w:rPr>
          <w:rFonts w:eastAsiaTheme="majorEastAsia" w:cstheme="majorBidi"/>
          <w:sz w:val="32"/>
          <w:szCs w:val="32"/>
        </w:rPr>
        <w:t>16</w:t>
      </w:r>
      <w:r w:rsidR="18813815" w:rsidRPr="00542B78">
        <w:rPr>
          <w:rFonts w:eastAsiaTheme="majorEastAsia" w:cstheme="majorBidi"/>
          <w:sz w:val="32"/>
          <w:szCs w:val="32"/>
        </w:rPr>
        <w:t xml:space="preserve"> </w:t>
      </w:r>
      <w:r w:rsidR="00542B78">
        <w:rPr>
          <w:rFonts w:eastAsiaTheme="majorEastAsia" w:cstheme="majorBidi"/>
          <w:sz w:val="32"/>
          <w:szCs w:val="32"/>
        </w:rPr>
        <w:t>–</w:t>
      </w:r>
      <w:r w:rsidR="7C4A60BB" w:rsidRPr="00542B78">
        <w:rPr>
          <w:rFonts w:eastAsiaTheme="majorEastAsia" w:cstheme="majorBidi"/>
          <w:sz w:val="32"/>
          <w:szCs w:val="32"/>
        </w:rPr>
        <w:t xml:space="preserve"> </w:t>
      </w:r>
      <w:r w:rsidR="002F0136" w:rsidRPr="00542B78">
        <w:rPr>
          <w:rFonts w:eastAsiaTheme="majorEastAsia" w:cstheme="majorBidi"/>
          <w:sz w:val="32"/>
          <w:szCs w:val="32"/>
        </w:rPr>
        <w:t>SECABC</w:t>
      </w:r>
    </w:p>
    <w:p w14:paraId="2FEC4656" w14:textId="77777777" w:rsidR="00542B78" w:rsidRPr="00542B78" w:rsidRDefault="00542B78" w:rsidP="00542B78"/>
    <w:tbl>
      <w:tblPr>
        <w:tblStyle w:val="TableGrid"/>
        <w:tblW w:w="9067" w:type="dxa"/>
        <w:tblLook w:val="04A0" w:firstRow="1" w:lastRow="0" w:firstColumn="1" w:lastColumn="0" w:noHBand="0" w:noVBand="1"/>
      </w:tblPr>
      <w:tblGrid>
        <w:gridCol w:w="2689"/>
        <w:gridCol w:w="6378"/>
      </w:tblGrid>
      <w:tr w:rsidR="00484AC1" w14:paraId="618B7154" w14:textId="77777777" w:rsidTr="00641676">
        <w:tc>
          <w:tcPr>
            <w:tcW w:w="2689" w:type="dxa"/>
          </w:tcPr>
          <w:p w14:paraId="25C565AA" w14:textId="77777777" w:rsidR="00484AC1" w:rsidRDefault="00903C8C">
            <w:pPr>
              <w:jc w:val="both"/>
            </w:pPr>
            <w:r>
              <w:t>Title</w:t>
            </w:r>
          </w:p>
        </w:tc>
        <w:tc>
          <w:tcPr>
            <w:tcW w:w="6378" w:type="dxa"/>
          </w:tcPr>
          <w:p w14:paraId="20D9E0A2" w14:textId="3415FD3C" w:rsidR="00484AC1" w:rsidRPr="00641676" w:rsidRDefault="002F0136">
            <w:pPr>
              <w:jc w:val="both"/>
              <w:rPr>
                <w:b/>
                <w:bCs/>
              </w:rPr>
            </w:pPr>
            <w:r w:rsidRPr="00641676">
              <w:rPr>
                <w:b/>
                <w:bCs/>
              </w:rPr>
              <w:t>SECABC</w:t>
            </w:r>
          </w:p>
        </w:tc>
      </w:tr>
      <w:tr w:rsidR="00484AC1" w:rsidRPr="002F0136" w14:paraId="0D6E8133" w14:textId="77777777" w:rsidTr="00641676">
        <w:trPr>
          <w:trHeight w:val="480"/>
        </w:trPr>
        <w:tc>
          <w:tcPr>
            <w:tcW w:w="2689" w:type="dxa"/>
          </w:tcPr>
          <w:p w14:paraId="3D87927C" w14:textId="77777777" w:rsidR="00484AC1" w:rsidRDefault="00903C8C">
            <w:pPr>
              <w:jc w:val="both"/>
            </w:pPr>
            <w:r>
              <w:t>Name and contact details of controller</w:t>
            </w:r>
          </w:p>
        </w:tc>
        <w:tc>
          <w:tcPr>
            <w:tcW w:w="6378" w:type="dxa"/>
          </w:tcPr>
          <w:p w14:paraId="1BD31F8F" w14:textId="073F88D0" w:rsidR="00484AC1" w:rsidRPr="002F0136" w:rsidRDefault="00AE339C">
            <w:pPr>
              <w:jc w:val="both"/>
              <w:rPr>
                <w:lang w:val="en-GB"/>
              </w:rPr>
            </w:pPr>
            <w:r w:rsidRPr="2202764C">
              <w:rPr>
                <w:lang w:val="en-GB"/>
              </w:rPr>
              <w:t xml:space="preserve">ECCC, </w:t>
            </w:r>
            <w:r w:rsidR="52748C7E" w:rsidRPr="2202764C">
              <w:rPr>
                <w:lang w:val="en-GB"/>
              </w:rPr>
              <w:t>Administration</w:t>
            </w:r>
            <w:r w:rsidR="2BC0750A" w:rsidRPr="2202764C">
              <w:rPr>
                <w:lang w:val="en-GB"/>
              </w:rPr>
              <w:t xml:space="preserve"> </w:t>
            </w:r>
            <w:r w:rsidR="52748C7E" w:rsidRPr="2202764C">
              <w:rPr>
                <w:lang w:val="en-GB"/>
              </w:rPr>
              <w:t>Unit,</w:t>
            </w:r>
            <w:r w:rsidR="00E235F2">
              <w:rPr>
                <w:lang w:val="en-GB"/>
              </w:rPr>
              <w:t xml:space="preserve"> </w:t>
            </w:r>
            <w:r w:rsidR="2A70012C" w:rsidRPr="00E235F2">
              <w:t>infosec</w:t>
            </w:r>
            <w:r w:rsidR="00E235F2" w:rsidRPr="00E235F2">
              <w:t xml:space="preserve"> [at] </w:t>
            </w:r>
            <w:r w:rsidR="2A70012C" w:rsidRPr="00E235F2">
              <w:t>eccc.europa.eu</w:t>
            </w:r>
            <w:r w:rsidR="00BA5455" w:rsidRPr="2202764C">
              <w:rPr>
                <w:lang w:val="en-GB"/>
              </w:rPr>
              <w:t xml:space="preserve">. </w:t>
            </w:r>
          </w:p>
        </w:tc>
      </w:tr>
      <w:tr w:rsidR="00484AC1" w14:paraId="2C19A798" w14:textId="77777777" w:rsidTr="00641676">
        <w:tc>
          <w:tcPr>
            <w:tcW w:w="2689" w:type="dxa"/>
          </w:tcPr>
          <w:p w14:paraId="635F499B" w14:textId="77777777" w:rsidR="00484AC1" w:rsidRDefault="00903C8C">
            <w:pPr>
              <w:jc w:val="both"/>
            </w:pPr>
            <w:r>
              <w:t>Name and contact details of DPO</w:t>
            </w:r>
          </w:p>
        </w:tc>
        <w:tc>
          <w:tcPr>
            <w:tcW w:w="6378" w:type="dxa"/>
          </w:tcPr>
          <w:p w14:paraId="5997B578" w14:textId="239F3C0C" w:rsidR="00484AC1" w:rsidRPr="00E235F2" w:rsidRDefault="00E37248" w:rsidP="2202764C">
            <w:pPr>
              <w:jc w:val="both"/>
              <w:rPr>
                <w:lang w:val="en-GB"/>
              </w:rPr>
            </w:pPr>
            <w:hyperlink r:id="rId11">
              <w:r w:rsidR="70D7C5EE" w:rsidRPr="00E235F2">
                <w:rPr>
                  <w:lang w:val="en-GB"/>
                </w:rPr>
                <w:t>data-protection</w:t>
              </w:r>
              <w:r w:rsidR="63942D3A" w:rsidRPr="00E235F2">
                <w:rPr>
                  <w:lang w:val="en-GB"/>
                </w:rPr>
                <w:t xml:space="preserve"> [at] </w:t>
              </w:r>
              <w:r w:rsidR="70D7C5EE" w:rsidRPr="00E235F2">
                <w:rPr>
                  <w:lang w:val="en-GB"/>
                </w:rPr>
                <w:t>eccc.europa.eu</w:t>
              </w:r>
            </w:hyperlink>
          </w:p>
        </w:tc>
      </w:tr>
      <w:tr w:rsidR="00484AC1" w14:paraId="54F4A25A" w14:textId="77777777" w:rsidTr="00641676">
        <w:tc>
          <w:tcPr>
            <w:tcW w:w="2689" w:type="dxa"/>
          </w:tcPr>
          <w:p w14:paraId="6F3F3461" w14:textId="77777777" w:rsidR="00484AC1" w:rsidRDefault="00903C8C">
            <w:pPr>
              <w:jc w:val="both"/>
            </w:pPr>
            <w:r>
              <w:t>Name and contact details of Joint Controller</w:t>
            </w:r>
          </w:p>
        </w:tc>
        <w:tc>
          <w:tcPr>
            <w:tcW w:w="6378" w:type="dxa"/>
          </w:tcPr>
          <w:p w14:paraId="22F2B5EE" w14:textId="2CD10384" w:rsidR="002F0136" w:rsidRDefault="002F0136">
            <w:pPr>
              <w:jc w:val="both"/>
            </w:pPr>
            <w:r>
              <w:t>The joint data controllers of the processing operation are E</w:t>
            </w:r>
            <w:r w:rsidR="6E6E7796">
              <w:t>CCC</w:t>
            </w:r>
            <w:r>
              <w:t xml:space="preserve"> – </w:t>
            </w:r>
            <w:r w:rsidR="4B9E7C8C">
              <w:t>Administration Unit</w:t>
            </w:r>
            <w:r>
              <w:t xml:space="preserve">, European Commission (EC) DG DIGIT and the participating European Institutions, Bodies and Agencies (EUIBAs). </w:t>
            </w:r>
          </w:p>
          <w:p w14:paraId="5543090A" w14:textId="77777777" w:rsidR="002F0136" w:rsidRDefault="002F0136">
            <w:pPr>
              <w:jc w:val="both"/>
            </w:pPr>
          </w:p>
          <w:p w14:paraId="37B56F6A" w14:textId="77777777" w:rsidR="002F0136" w:rsidRDefault="002F0136">
            <w:pPr>
              <w:jc w:val="both"/>
            </w:pPr>
            <w:r w:rsidRPr="002F0136">
              <w:t xml:space="preserve">Roles and responsibilities of joint controllers are defined in the joint controllership agreement. DG DIGIT is responsible for the development, operation, administration, and maintenance of the SECABC platform. </w:t>
            </w:r>
          </w:p>
          <w:p w14:paraId="36FC9BFC" w14:textId="77777777" w:rsidR="002F0136" w:rsidRDefault="002F0136">
            <w:pPr>
              <w:jc w:val="both"/>
            </w:pPr>
          </w:p>
          <w:p w14:paraId="66C955FC" w14:textId="78204190" w:rsidR="00484AC1" w:rsidRDefault="002F0136">
            <w:pPr>
              <w:jc w:val="both"/>
            </w:pPr>
            <w:r w:rsidRPr="002F0136">
              <w:t>Each joint controller is responsible (where applicable) for processing the address book data and secure email certificates of all participating EUIBAs respectively, which ha</w:t>
            </w:r>
            <w:r w:rsidR="00BA5455">
              <w:t>ve</w:t>
            </w:r>
            <w:r w:rsidRPr="002F0136">
              <w:t xml:space="preserve"> been made available to them via the SECABC platform.</w:t>
            </w:r>
          </w:p>
        </w:tc>
      </w:tr>
      <w:tr w:rsidR="00484AC1" w14:paraId="00606CDE" w14:textId="77777777" w:rsidTr="00641676">
        <w:tc>
          <w:tcPr>
            <w:tcW w:w="2689" w:type="dxa"/>
          </w:tcPr>
          <w:p w14:paraId="48052F8F" w14:textId="77777777" w:rsidR="00484AC1" w:rsidRDefault="00903C8C">
            <w:pPr>
              <w:jc w:val="both"/>
            </w:pPr>
            <w:r>
              <w:t>Name and contact details of processor</w:t>
            </w:r>
          </w:p>
        </w:tc>
        <w:tc>
          <w:tcPr>
            <w:tcW w:w="6378" w:type="dxa"/>
          </w:tcPr>
          <w:p w14:paraId="3FB51478" w14:textId="1185EDFC" w:rsidR="00BA5455" w:rsidRDefault="00BA5455" w:rsidP="00BA5455">
            <w:pPr>
              <w:jc w:val="both"/>
            </w:pPr>
            <w:bookmarkStart w:id="0" w:name="_Hlk190893594"/>
            <w:r>
              <w:t>The ECCC is responsible (where applicable) for processing (managing, storing, etc.) the</w:t>
            </w:r>
          </w:p>
          <w:p w14:paraId="09FE6B20" w14:textId="20DF0BA6" w:rsidR="00484AC1" w:rsidRDefault="00BA5455" w:rsidP="00BA5455">
            <w:pPr>
              <w:jc w:val="both"/>
            </w:pPr>
            <w:r>
              <w:t>address book data and secure email certificate’s public keys of all participating</w:t>
            </w:r>
            <w:bookmarkEnd w:id="0"/>
          </w:p>
        </w:tc>
      </w:tr>
      <w:tr w:rsidR="00484AC1" w14:paraId="72BB286B" w14:textId="77777777" w:rsidTr="00641676">
        <w:tc>
          <w:tcPr>
            <w:tcW w:w="2689" w:type="dxa"/>
          </w:tcPr>
          <w:p w14:paraId="0E3D23A5" w14:textId="77777777" w:rsidR="00484AC1" w:rsidRDefault="00903C8C">
            <w:pPr>
              <w:jc w:val="both"/>
            </w:pPr>
            <w:r>
              <w:t>Purpose of the processing</w:t>
            </w:r>
          </w:p>
        </w:tc>
        <w:tc>
          <w:tcPr>
            <w:tcW w:w="6378" w:type="dxa"/>
          </w:tcPr>
          <w:p w14:paraId="5E1E3AF2" w14:textId="77777777" w:rsidR="002F0136" w:rsidRDefault="002F0136">
            <w:pPr>
              <w:jc w:val="both"/>
            </w:pPr>
            <w:bookmarkStart w:id="1" w:name="_Hlk190893756"/>
            <w:r w:rsidRPr="002F0136">
              <w:t xml:space="preserve">The purpose of the processing is to facilitate via the “SECABC" (Secure Address Book Communication) platform, the exchange of Address Book Information and SECEM (secure email) certificate information among the European Commission and the EUIBAs. </w:t>
            </w:r>
          </w:p>
          <w:p w14:paraId="43050EFA" w14:textId="77777777" w:rsidR="002F0136" w:rsidRDefault="002F0136">
            <w:pPr>
              <w:jc w:val="both"/>
            </w:pPr>
          </w:p>
          <w:p w14:paraId="5A8D1DC0" w14:textId="48C830CD" w:rsidR="00484AC1" w:rsidRPr="00AE339C" w:rsidRDefault="002F0136">
            <w:pPr>
              <w:jc w:val="both"/>
              <w:rPr>
                <w:highlight w:val="yellow"/>
                <w:lang w:val="en-GB"/>
              </w:rPr>
            </w:pPr>
            <w:r w:rsidRPr="002F0136">
              <w:t xml:space="preserve">This information allows for contact information lookup and secure email exchange. Furthermore, to provide access to European Commission Information systems, e.g., ECAS (European Commission Authentication System), the Commission Enterprise Directory (CED), the Common User Directory (CUD) and the EU TESTA (Trans-European Services for Telematics between Administrations). </w:t>
            </w:r>
            <w:bookmarkEnd w:id="1"/>
          </w:p>
        </w:tc>
      </w:tr>
      <w:tr w:rsidR="00484AC1" w14:paraId="4828C470" w14:textId="77777777" w:rsidTr="00641676">
        <w:tc>
          <w:tcPr>
            <w:tcW w:w="2689" w:type="dxa"/>
          </w:tcPr>
          <w:p w14:paraId="110A82D7" w14:textId="77777777" w:rsidR="00484AC1" w:rsidRDefault="00903C8C">
            <w:pPr>
              <w:jc w:val="both"/>
            </w:pPr>
            <w:r>
              <w:t>Description of data subjects</w:t>
            </w:r>
          </w:p>
        </w:tc>
        <w:tc>
          <w:tcPr>
            <w:tcW w:w="6378" w:type="dxa"/>
          </w:tcPr>
          <w:p w14:paraId="5B4A3038" w14:textId="44F3EF98" w:rsidR="00484AC1" w:rsidRDefault="002F0136" w:rsidP="2202764C">
            <w:pPr>
              <w:jc w:val="both"/>
            </w:pPr>
            <w:r>
              <w:t>The data subjects are: ECCC staff, temporary agents, contract agents, Seconded National Experts (SNEs), trainees and interim agents.</w:t>
            </w:r>
          </w:p>
        </w:tc>
      </w:tr>
      <w:tr w:rsidR="00484AC1" w14:paraId="02D028B7" w14:textId="77777777" w:rsidTr="00641676">
        <w:trPr>
          <w:trHeight w:val="1124"/>
        </w:trPr>
        <w:tc>
          <w:tcPr>
            <w:tcW w:w="2689" w:type="dxa"/>
          </w:tcPr>
          <w:p w14:paraId="5F04CC56" w14:textId="77777777" w:rsidR="00484AC1" w:rsidRDefault="00903C8C">
            <w:pPr>
              <w:jc w:val="both"/>
            </w:pPr>
            <w:r>
              <w:t>Description of data categories</w:t>
            </w:r>
          </w:p>
        </w:tc>
        <w:tc>
          <w:tcPr>
            <w:tcW w:w="6378" w:type="dxa"/>
          </w:tcPr>
          <w:p w14:paraId="5D17154E" w14:textId="77777777" w:rsidR="00873576" w:rsidRDefault="00873576" w:rsidP="00075414">
            <w:pPr>
              <w:spacing w:line="254" w:lineRule="auto"/>
              <w:jc w:val="both"/>
            </w:pPr>
            <w:r w:rsidRPr="00873576">
              <w:t xml:space="preserve">The categories of data processed are related to the identification of staff members including: </w:t>
            </w:r>
          </w:p>
          <w:p w14:paraId="67252BF8" w14:textId="76635E01" w:rsidR="00873576" w:rsidRDefault="00873576" w:rsidP="003379BF">
            <w:pPr>
              <w:pStyle w:val="ListParagraph"/>
              <w:numPr>
                <w:ilvl w:val="0"/>
                <w:numId w:val="40"/>
              </w:numPr>
              <w:spacing w:line="254" w:lineRule="auto"/>
              <w:ind w:left="246" w:hanging="284"/>
              <w:jc w:val="both"/>
            </w:pPr>
            <w:bookmarkStart w:id="2" w:name="_Hlk190893791"/>
            <w:r w:rsidRPr="00873576">
              <w:t>Name, e-mail, Job title, Department/Unit, Work phone, Location, Institution;</w:t>
            </w:r>
          </w:p>
          <w:p w14:paraId="6FC6226D" w14:textId="659AFE09" w:rsidR="00873576" w:rsidRDefault="00873576" w:rsidP="003379BF">
            <w:pPr>
              <w:pStyle w:val="ListParagraph"/>
              <w:numPr>
                <w:ilvl w:val="0"/>
                <w:numId w:val="40"/>
              </w:numPr>
              <w:spacing w:line="254" w:lineRule="auto"/>
              <w:ind w:left="246" w:hanging="284"/>
              <w:jc w:val="both"/>
            </w:pPr>
            <w:r w:rsidRPr="00873576">
              <w:t xml:space="preserve">Credentials (EU-LOGIN); </w:t>
            </w:r>
          </w:p>
          <w:p w14:paraId="35B4CD76" w14:textId="2FFC9157" w:rsidR="00873576" w:rsidRDefault="00873576" w:rsidP="003379BF">
            <w:pPr>
              <w:pStyle w:val="ListParagraph"/>
              <w:numPr>
                <w:ilvl w:val="0"/>
                <w:numId w:val="40"/>
              </w:numPr>
              <w:spacing w:line="254" w:lineRule="auto"/>
              <w:ind w:left="246" w:hanging="284"/>
              <w:jc w:val="both"/>
            </w:pPr>
            <w:r w:rsidRPr="00873576">
              <w:t xml:space="preserve">Date of birth and gender (COMREF); </w:t>
            </w:r>
          </w:p>
          <w:p w14:paraId="15787D0B" w14:textId="35D57891" w:rsidR="00873576" w:rsidRDefault="00873576" w:rsidP="003379BF">
            <w:pPr>
              <w:pStyle w:val="ListParagraph"/>
              <w:numPr>
                <w:ilvl w:val="0"/>
                <w:numId w:val="40"/>
              </w:numPr>
              <w:spacing w:line="254" w:lineRule="auto"/>
              <w:ind w:left="246" w:hanging="284"/>
              <w:jc w:val="both"/>
            </w:pPr>
            <w:r w:rsidRPr="00873576">
              <w:t xml:space="preserve">Access rights (group membership and roles) (EU-LOGIN); </w:t>
            </w:r>
          </w:p>
          <w:p w14:paraId="242C2518" w14:textId="5A73F9D2" w:rsidR="00873576" w:rsidRDefault="00873576" w:rsidP="003379BF">
            <w:pPr>
              <w:pStyle w:val="ListParagraph"/>
              <w:numPr>
                <w:ilvl w:val="0"/>
                <w:numId w:val="40"/>
              </w:numPr>
              <w:spacing w:line="254" w:lineRule="auto"/>
              <w:ind w:left="246" w:hanging="284"/>
              <w:jc w:val="both"/>
            </w:pPr>
            <w:r w:rsidRPr="00873576">
              <w:lastRenderedPageBreak/>
              <w:t xml:space="preserve">Authenticated account activity (EU-LOGIN), </w:t>
            </w:r>
          </w:p>
          <w:p w14:paraId="796C3D58" w14:textId="3AD18115" w:rsidR="00873576" w:rsidRDefault="00873576" w:rsidP="003379BF">
            <w:pPr>
              <w:pStyle w:val="ListParagraph"/>
              <w:numPr>
                <w:ilvl w:val="0"/>
                <w:numId w:val="40"/>
              </w:numPr>
              <w:spacing w:line="254" w:lineRule="auto"/>
              <w:ind w:left="246" w:hanging="284"/>
              <w:jc w:val="both"/>
            </w:pPr>
            <w:r w:rsidRPr="00873576">
              <w:t xml:space="preserve">Error prevention information (to ensure correct matching of data between authoritative source and the identity repository); </w:t>
            </w:r>
          </w:p>
          <w:p w14:paraId="5C8559BA" w14:textId="4C97DFA9" w:rsidR="00484AC1" w:rsidRPr="003379BF" w:rsidRDefault="00873576" w:rsidP="003379BF">
            <w:pPr>
              <w:pStyle w:val="ListParagraph"/>
              <w:numPr>
                <w:ilvl w:val="0"/>
                <w:numId w:val="39"/>
              </w:numPr>
              <w:spacing w:line="254" w:lineRule="auto"/>
              <w:ind w:left="246" w:hanging="284"/>
              <w:jc w:val="both"/>
              <w:rPr>
                <w:lang w:val="en-GB"/>
              </w:rPr>
            </w:pPr>
            <w:r w:rsidRPr="00873576">
              <w:t>• Account status (EU-LOGIN)</w:t>
            </w:r>
            <w:bookmarkEnd w:id="2"/>
          </w:p>
        </w:tc>
      </w:tr>
      <w:tr w:rsidR="00484AC1" w14:paraId="41AC99D1" w14:textId="77777777" w:rsidTr="00641676">
        <w:tc>
          <w:tcPr>
            <w:tcW w:w="2689" w:type="dxa"/>
          </w:tcPr>
          <w:p w14:paraId="06B6966D" w14:textId="77777777" w:rsidR="00484AC1" w:rsidRDefault="00903C8C">
            <w:pPr>
              <w:jc w:val="both"/>
            </w:pPr>
            <w:r>
              <w:lastRenderedPageBreak/>
              <w:t>Time limits (for the erasure of data)</w:t>
            </w:r>
          </w:p>
        </w:tc>
        <w:tc>
          <w:tcPr>
            <w:tcW w:w="6378" w:type="dxa"/>
          </w:tcPr>
          <w:p w14:paraId="21D39762" w14:textId="6351973D" w:rsidR="009B609B" w:rsidRDefault="00873576" w:rsidP="009B609B">
            <w:pPr>
              <w:jc w:val="both"/>
            </w:pPr>
            <w:bookmarkStart w:id="3" w:name="_Hlk190894042"/>
            <w:r>
              <w:t>The collected personal data is stored as long as a person is a staff member of the E</w:t>
            </w:r>
            <w:r w:rsidR="141FE0B2">
              <w:t>CCC</w:t>
            </w:r>
            <w:r>
              <w:t xml:space="preserve">. </w:t>
            </w:r>
          </w:p>
          <w:p w14:paraId="1F14EA72" w14:textId="77777777" w:rsidR="00873576" w:rsidRDefault="00873576" w:rsidP="009B609B">
            <w:pPr>
              <w:jc w:val="both"/>
            </w:pPr>
          </w:p>
          <w:bookmarkEnd w:id="3"/>
          <w:p w14:paraId="2DAB166E" w14:textId="5218FAEE" w:rsidR="00484AC1" w:rsidRDefault="00873576" w:rsidP="2202764C">
            <w:pPr>
              <w:jc w:val="both"/>
            </w:pPr>
            <w:r>
              <w:t xml:space="preserve">SECABC: Each participating EUIBA can withdraw its authorisation of other Participating EUIBAs to receive shared data at any time. Upon withdrawal of authorisation, the receiving Participating EUIBA will delete any received data within one month. </w:t>
            </w:r>
          </w:p>
          <w:p w14:paraId="25B591F1" w14:textId="096AF9C3" w:rsidR="00484AC1" w:rsidRDefault="00873576" w:rsidP="2202764C">
            <w:pPr>
              <w:jc w:val="both"/>
            </w:pPr>
            <w:r>
              <w:t>In case of termination of joint controllership agreement all EUIBAs, all Parties shall delete all personal data that have downloaded from the SECABC platform within one month. EC (DG DIGIT) will also delete all data from SECABC within one month.</w:t>
            </w:r>
          </w:p>
        </w:tc>
      </w:tr>
      <w:tr w:rsidR="00484AC1" w14:paraId="19BC383E" w14:textId="77777777" w:rsidTr="00641676">
        <w:tc>
          <w:tcPr>
            <w:tcW w:w="2689" w:type="dxa"/>
          </w:tcPr>
          <w:p w14:paraId="1595B843" w14:textId="77777777" w:rsidR="00484AC1" w:rsidRDefault="00903C8C">
            <w:pPr>
              <w:jc w:val="both"/>
            </w:pPr>
            <w:r>
              <w:t>Data recipients</w:t>
            </w:r>
          </w:p>
        </w:tc>
        <w:tc>
          <w:tcPr>
            <w:tcW w:w="6378" w:type="dxa"/>
          </w:tcPr>
          <w:p w14:paraId="2BCAAF84" w14:textId="22595302" w:rsidR="00484AC1" w:rsidRDefault="00D75839" w:rsidP="2202764C">
            <w:pPr>
              <w:jc w:val="both"/>
            </w:pPr>
            <w:bookmarkStart w:id="4" w:name="_Hlk190893996"/>
            <w:r>
              <w:t>All staff members of the Commission and the participating EUIBAs listed have access to the basic address book provided, i.e., Name, E-mail, Job title, Department/Unit, Work phone.</w:t>
            </w:r>
            <w:bookmarkEnd w:id="4"/>
          </w:p>
        </w:tc>
      </w:tr>
      <w:tr w:rsidR="00484AC1" w14:paraId="3D83DAFF" w14:textId="77777777" w:rsidTr="00641676">
        <w:tc>
          <w:tcPr>
            <w:tcW w:w="2689" w:type="dxa"/>
          </w:tcPr>
          <w:p w14:paraId="64C65B78" w14:textId="77777777" w:rsidR="00484AC1" w:rsidRDefault="00903C8C">
            <w:pPr>
              <w:jc w:val="both"/>
            </w:pPr>
            <w:r>
              <w:t>Transfers to third countries</w:t>
            </w:r>
          </w:p>
        </w:tc>
        <w:tc>
          <w:tcPr>
            <w:tcW w:w="6378" w:type="dxa"/>
          </w:tcPr>
          <w:p w14:paraId="5E42A369" w14:textId="6187AAAA" w:rsidR="00484AC1" w:rsidRDefault="00D75839" w:rsidP="2202764C">
            <w:pPr>
              <w:jc w:val="both"/>
            </w:pPr>
            <w:bookmarkStart w:id="5" w:name="_Hlk190894104"/>
            <w:r>
              <w:t>No transfers outside EU/EEA are foreseen</w:t>
            </w:r>
            <w:bookmarkEnd w:id="5"/>
          </w:p>
        </w:tc>
      </w:tr>
      <w:tr w:rsidR="00484AC1" w14:paraId="7B5329CF" w14:textId="77777777" w:rsidTr="00641676">
        <w:tc>
          <w:tcPr>
            <w:tcW w:w="2689" w:type="dxa"/>
          </w:tcPr>
          <w:p w14:paraId="0675390A" w14:textId="77777777" w:rsidR="00484AC1" w:rsidRDefault="00903C8C">
            <w:pPr>
              <w:jc w:val="both"/>
            </w:pPr>
            <w:r>
              <w:t>Security measures – General description</w:t>
            </w:r>
          </w:p>
        </w:tc>
        <w:tc>
          <w:tcPr>
            <w:tcW w:w="6378" w:type="dxa"/>
          </w:tcPr>
          <w:p w14:paraId="7650225A" w14:textId="77777777" w:rsidR="00D75839" w:rsidRDefault="00D75839" w:rsidP="2202764C">
            <w:pPr>
              <w:jc w:val="both"/>
            </w:pPr>
            <w:r>
              <w:t xml:space="preserve">The SECABC platform is secured with TLS/SSL for information in transit. Access to the platform is secured with secure authentication through EU Login and only authorised users can access the SECABC platform. The European Commission has implemented security measures to protect server hardware, software and the network from accidental or malicious manipulations and loss of data. </w:t>
            </w:r>
          </w:p>
          <w:p w14:paraId="4F1B3D37" w14:textId="77777777" w:rsidR="00D75839" w:rsidRDefault="00D75839" w:rsidP="2202764C">
            <w:pPr>
              <w:jc w:val="both"/>
            </w:pPr>
          </w:p>
          <w:p w14:paraId="4CE4A9CE" w14:textId="7B42DCBD" w:rsidR="00484AC1" w:rsidRDefault="00D75839">
            <w:pPr>
              <w:jc w:val="both"/>
              <w:rPr>
                <w:lang w:val="en-US"/>
              </w:rPr>
            </w:pPr>
            <w:r>
              <w:t>All data is stored in line with the technical security provisions laid down in the Commission Decision (EU, Euratom) 2017/46 of 10 January 2017 on the security of communication and information systems in the European Commission, its subsequent versions, its implementing rules (as adapted from time to time) and the corresponding security standards and guidelines, as well as the Commission Decision (EU, Euratom) 2015/443 of 13 March 2015 on the security in the Commission, its implementing rules and the corresponding security notices. These documents (as adapted from time to time) are available for consultation at the following address: https://ec.europa.eu/info/publications/security-standards applying-all-</w:t>
            </w:r>
            <w:proofErr w:type="spellStart"/>
            <w:r>
              <w:t>european</w:t>
            </w:r>
            <w:proofErr w:type="spellEnd"/>
            <w:r>
              <w:t>-commission-information-</w:t>
            </w:r>
            <w:proofErr w:type="spellStart"/>
            <w:r>
              <w:t>systems_en</w:t>
            </w:r>
            <w:proofErr w:type="spellEnd"/>
            <w:r>
              <w:t>.</w:t>
            </w:r>
          </w:p>
        </w:tc>
      </w:tr>
      <w:tr w:rsidR="00484AC1" w14:paraId="36086DB7" w14:textId="77777777" w:rsidTr="00641676">
        <w:tc>
          <w:tcPr>
            <w:tcW w:w="2689" w:type="dxa"/>
          </w:tcPr>
          <w:p w14:paraId="4077F292" w14:textId="77777777" w:rsidR="00484AC1" w:rsidRDefault="00903C8C">
            <w:pPr>
              <w:jc w:val="both"/>
              <w:rPr>
                <w:rFonts w:cstheme="minorHAnsi"/>
              </w:rPr>
            </w:pPr>
            <w:r>
              <w:rPr>
                <w:rFonts w:cstheme="minorHAnsi"/>
              </w:rPr>
              <w:t>Privacy statement</w:t>
            </w:r>
          </w:p>
        </w:tc>
        <w:tc>
          <w:tcPr>
            <w:tcW w:w="6378" w:type="dxa"/>
          </w:tcPr>
          <w:p w14:paraId="55DDB8D4" w14:textId="23F361DA" w:rsidR="00484AC1" w:rsidRDefault="00E5555C" w:rsidP="2202764C">
            <w:pPr>
              <w:jc w:val="both"/>
            </w:pPr>
            <w:r w:rsidRPr="2202764C">
              <w:t xml:space="preserve">A privacy notice is available </w:t>
            </w:r>
            <w:r w:rsidR="752D8BCF" w:rsidRPr="2202764C">
              <w:t xml:space="preserve">within ECCC intranet. </w:t>
            </w:r>
          </w:p>
        </w:tc>
      </w:tr>
    </w:tbl>
    <w:p w14:paraId="10D84864" w14:textId="77777777" w:rsidR="00484AC1" w:rsidRDefault="00484AC1" w:rsidP="00E37248">
      <w:pPr>
        <w:jc w:val="both"/>
      </w:pPr>
    </w:p>
    <w:sectPr w:rsidR="00484AC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52471" w14:textId="77777777" w:rsidR="00903C8C" w:rsidRDefault="00903C8C">
      <w:pPr>
        <w:spacing w:after="0" w:line="240" w:lineRule="auto"/>
      </w:pPr>
      <w:r>
        <w:separator/>
      </w:r>
    </w:p>
  </w:endnote>
  <w:endnote w:type="continuationSeparator" w:id="0">
    <w:p w14:paraId="6F0879A0" w14:textId="77777777" w:rsidR="00903C8C" w:rsidRDefault="00903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025060"/>
      <w:docPartObj>
        <w:docPartGallery w:val="Page Numbers (Bottom of Page)"/>
        <w:docPartUnique/>
      </w:docPartObj>
    </w:sdtPr>
    <w:sdtEndPr>
      <w:rPr>
        <w:noProof/>
      </w:rPr>
    </w:sdtEndPr>
    <w:sdtContent>
      <w:p w14:paraId="39D34BBF" w14:textId="77777777" w:rsidR="00484AC1" w:rsidRDefault="00903C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0DB4DA" w14:textId="77777777" w:rsidR="00484AC1" w:rsidRDefault="00484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BF8F2" w14:textId="77777777" w:rsidR="00903C8C" w:rsidRDefault="00903C8C">
      <w:pPr>
        <w:spacing w:after="0" w:line="240" w:lineRule="auto"/>
      </w:pPr>
      <w:r>
        <w:separator/>
      </w:r>
    </w:p>
  </w:footnote>
  <w:footnote w:type="continuationSeparator" w:id="0">
    <w:p w14:paraId="27DA823D" w14:textId="77777777" w:rsidR="00903C8C" w:rsidRDefault="00903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9435" w14:textId="2271F635" w:rsidR="00484AC1" w:rsidRDefault="5F5E19EE" w:rsidP="5F5E19EE">
    <w:pPr>
      <w:pStyle w:val="Header"/>
      <w:jc w:val="right"/>
    </w:pPr>
    <w:r w:rsidRPr="5F5E19EE">
      <w:rPr>
        <w:rFonts w:ascii="Calibri" w:eastAsia="Calibri" w:hAnsi="Calibri" w:cs="Calibri"/>
        <w:color w:val="000000" w:themeColor="text1"/>
      </w:rPr>
      <w:t>Last Updated: 07/03/2025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2D5F"/>
    <w:multiLevelType w:val="hybridMultilevel"/>
    <w:tmpl w:val="55E4A71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F00CE9"/>
    <w:multiLevelType w:val="hybridMultilevel"/>
    <w:tmpl w:val="28DCEF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02B84"/>
    <w:multiLevelType w:val="hybridMultilevel"/>
    <w:tmpl w:val="2C762382"/>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C5E216A"/>
    <w:multiLevelType w:val="hybridMultilevel"/>
    <w:tmpl w:val="2376C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16771"/>
    <w:multiLevelType w:val="multilevel"/>
    <w:tmpl w:val="6348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76918"/>
    <w:multiLevelType w:val="hybridMultilevel"/>
    <w:tmpl w:val="EFCCEF2A"/>
    <w:lvl w:ilvl="0" w:tplc="3C1E98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7342B"/>
    <w:multiLevelType w:val="hybridMultilevel"/>
    <w:tmpl w:val="F956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61714"/>
    <w:multiLevelType w:val="hybridMultilevel"/>
    <w:tmpl w:val="8CE2410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F87136"/>
    <w:multiLevelType w:val="hybridMultilevel"/>
    <w:tmpl w:val="4E12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4664A9"/>
    <w:multiLevelType w:val="hybridMultilevel"/>
    <w:tmpl w:val="2C30BC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096C03"/>
    <w:multiLevelType w:val="hybridMultilevel"/>
    <w:tmpl w:val="BC44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6E006E"/>
    <w:multiLevelType w:val="multilevel"/>
    <w:tmpl w:val="571C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56F64"/>
    <w:multiLevelType w:val="hybridMultilevel"/>
    <w:tmpl w:val="1474F412"/>
    <w:lvl w:ilvl="0" w:tplc="FFFFFFFF">
      <w:start w:val="1"/>
      <w:numFmt w:val="decimal"/>
      <w:lvlText w:val="%1."/>
      <w:lvlJc w:val="left"/>
      <w:pPr>
        <w:ind w:left="360" w:hanging="360"/>
      </w:pPr>
      <w:rPr>
        <w:rFonts w:asciiTheme="minorHAnsi" w:eastAsiaTheme="minorHAnsi" w:hAnsiTheme="minorHAnsi" w:cstheme="minorBidi"/>
      </w:rPr>
    </w:lvl>
    <w:lvl w:ilvl="1" w:tplc="1809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A0F40E6"/>
    <w:multiLevelType w:val="hybridMultilevel"/>
    <w:tmpl w:val="3F5E6410"/>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FE1EA1"/>
    <w:multiLevelType w:val="hybridMultilevel"/>
    <w:tmpl w:val="976449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CC3A18"/>
    <w:multiLevelType w:val="hybridMultilevel"/>
    <w:tmpl w:val="0FD49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D2E73DF"/>
    <w:multiLevelType w:val="hybridMultilevel"/>
    <w:tmpl w:val="F2F08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DD159F8"/>
    <w:multiLevelType w:val="hybridMultilevel"/>
    <w:tmpl w:val="DFCAFF24"/>
    <w:lvl w:ilvl="0" w:tplc="8564F54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C03FE"/>
    <w:multiLevelType w:val="hybridMultilevel"/>
    <w:tmpl w:val="917CE9B6"/>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56B47F79"/>
    <w:multiLevelType w:val="hybridMultilevel"/>
    <w:tmpl w:val="CC125EEE"/>
    <w:lvl w:ilvl="0" w:tplc="4E4C1008">
      <w:start w:val="1"/>
      <w:numFmt w:val="lowerLetter"/>
      <w:lvlText w:val="%1)"/>
      <w:lvlJc w:val="left"/>
      <w:pPr>
        <w:ind w:left="360" w:hanging="360"/>
      </w:pPr>
      <w:rPr>
        <w:rFonts w:asciiTheme="minorHAnsi" w:eastAsiaTheme="minorHAnsi" w:hAnsiTheme="minorHAnsi" w:cstheme="minorBid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56F075C2"/>
    <w:multiLevelType w:val="multilevel"/>
    <w:tmpl w:val="0700EE10"/>
    <w:styleLink w:val="CurrentList1"/>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8E211DE"/>
    <w:multiLevelType w:val="hybridMultilevel"/>
    <w:tmpl w:val="04908410"/>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BC278AC"/>
    <w:multiLevelType w:val="hybridMultilevel"/>
    <w:tmpl w:val="82240E4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3" w15:restartNumberingAfterBreak="0">
    <w:nsid w:val="5D19521A"/>
    <w:multiLevelType w:val="hybridMultilevel"/>
    <w:tmpl w:val="9312B5CE"/>
    <w:lvl w:ilvl="0" w:tplc="2008394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D07749"/>
    <w:multiLevelType w:val="hybridMultilevel"/>
    <w:tmpl w:val="3F50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E24779"/>
    <w:multiLevelType w:val="hybridMultilevel"/>
    <w:tmpl w:val="52B8E01E"/>
    <w:lvl w:ilvl="0" w:tplc="3C1E98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43925"/>
    <w:multiLevelType w:val="hybridMultilevel"/>
    <w:tmpl w:val="47108158"/>
    <w:lvl w:ilvl="0" w:tplc="C1A08E7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3516C64"/>
    <w:multiLevelType w:val="hybridMultilevel"/>
    <w:tmpl w:val="F80C8D4C"/>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64045B"/>
    <w:multiLevelType w:val="hybridMultilevel"/>
    <w:tmpl w:val="67C2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5864C5"/>
    <w:multiLevelType w:val="hybridMultilevel"/>
    <w:tmpl w:val="61B84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683258"/>
    <w:multiLevelType w:val="hybridMultilevel"/>
    <w:tmpl w:val="0700EE10"/>
    <w:lvl w:ilvl="0" w:tplc="FFFFFFFF">
      <w:start w:val="1"/>
      <w:numFmt w:val="decimal"/>
      <w:lvlText w:val="%1."/>
      <w:lvlJc w:val="left"/>
      <w:pPr>
        <w:ind w:left="360" w:hanging="360"/>
      </w:pPr>
      <w:rPr>
        <w:rFonts w:asciiTheme="minorHAnsi" w:eastAsiaTheme="minorHAnsi" w:hAnsiTheme="minorHAnsi"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F7F34E3"/>
    <w:multiLevelType w:val="hybridMultilevel"/>
    <w:tmpl w:val="93E2B3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0997D92"/>
    <w:multiLevelType w:val="multilevel"/>
    <w:tmpl w:val="1C06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F40C2F"/>
    <w:multiLevelType w:val="multilevel"/>
    <w:tmpl w:val="3F20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492BAF"/>
    <w:multiLevelType w:val="multilevel"/>
    <w:tmpl w:val="4078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5B739A"/>
    <w:multiLevelType w:val="hybridMultilevel"/>
    <w:tmpl w:val="7D6AAAC0"/>
    <w:lvl w:ilvl="0" w:tplc="06CAF6A2">
      <w:start w:val="1"/>
      <w:numFmt w:val="decimal"/>
      <w:lvlText w:val="%1-"/>
      <w:lvlJc w:val="left"/>
      <w:pPr>
        <w:ind w:left="720" w:hanging="360"/>
      </w:pPr>
      <w:rPr>
        <w:rFonts w:asciiTheme="minorHAnsi" w:eastAsiaTheme="minorHAnsi"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E362F62"/>
    <w:multiLevelType w:val="hybridMultilevel"/>
    <w:tmpl w:val="E244D5EA"/>
    <w:lvl w:ilvl="0" w:tplc="CF4AE5B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6"/>
  </w:num>
  <w:num w:numId="2">
    <w:abstractNumId w:val="36"/>
  </w:num>
  <w:num w:numId="3">
    <w:abstractNumId w:val="7"/>
  </w:num>
  <w:num w:numId="4">
    <w:abstractNumId w:val="35"/>
  </w:num>
  <w:num w:numId="5">
    <w:abstractNumId w:val="9"/>
  </w:num>
  <w:num w:numId="6">
    <w:abstractNumId w:val="19"/>
  </w:num>
  <w:num w:numId="7">
    <w:abstractNumId w:val="15"/>
  </w:num>
  <w:num w:numId="8">
    <w:abstractNumId w:val="21"/>
  </w:num>
  <w:num w:numId="9">
    <w:abstractNumId w:val="13"/>
  </w:num>
  <w:num w:numId="10">
    <w:abstractNumId w:val="16"/>
  </w:num>
  <w:num w:numId="11">
    <w:abstractNumId w:val="31"/>
  </w:num>
  <w:num w:numId="12">
    <w:abstractNumId w:val="2"/>
  </w:num>
  <w:num w:numId="13">
    <w:abstractNumId w:val="0"/>
  </w:num>
  <w:num w:numId="14">
    <w:abstractNumId w:val="12"/>
  </w:num>
  <w:num w:numId="15">
    <w:abstractNumId w:val="30"/>
  </w:num>
  <w:num w:numId="16">
    <w:abstractNumId w:val="20"/>
  </w:num>
  <w:num w:numId="17">
    <w:abstractNumId w:val="1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17"/>
  </w:num>
  <w:num w:numId="24">
    <w:abstractNumId w:val="22"/>
  </w:num>
  <w:num w:numId="25">
    <w:abstractNumId w:val="10"/>
  </w:num>
  <w:num w:numId="26">
    <w:abstractNumId w:val="8"/>
  </w:num>
  <w:num w:numId="27">
    <w:abstractNumId w:val="27"/>
  </w:num>
  <w:num w:numId="28">
    <w:abstractNumId w:val="14"/>
  </w:num>
  <w:num w:numId="29">
    <w:abstractNumId w:val="6"/>
  </w:num>
  <w:num w:numId="30">
    <w:abstractNumId w:val="28"/>
  </w:num>
  <w:num w:numId="31">
    <w:abstractNumId w:val="1"/>
  </w:num>
  <w:num w:numId="32">
    <w:abstractNumId w:val="34"/>
  </w:num>
  <w:num w:numId="33">
    <w:abstractNumId w:val="4"/>
  </w:num>
  <w:num w:numId="34">
    <w:abstractNumId w:val="32"/>
  </w:num>
  <w:num w:numId="35">
    <w:abstractNumId w:val="11"/>
  </w:num>
  <w:num w:numId="36">
    <w:abstractNumId w:val="33"/>
  </w:num>
  <w:num w:numId="37">
    <w:abstractNumId w:val="5"/>
  </w:num>
  <w:num w:numId="38">
    <w:abstractNumId w:val="25"/>
  </w:num>
  <w:num w:numId="39">
    <w:abstractNumId w:val="29"/>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AC1"/>
    <w:rsid w:val="00075414"/>
    <w:rsid w:val="00080E22"/>
    <w:rsid w:val="000827DF"/>
    <w:rsid w:val="000E19A8"/>
    <w:rsid w:val="000E6A39"/>
    <w:rsid w:val="001F44BA"/>
    <w:rsid w:val="002F0136"/>
    <w:rsid w:val="003379BF"/>
    <w:rsid w:val="0037349F"/>
    <w:rsid w:val="00374CA5"/>
    <w:rsid w:val="00383D13"/>
    <w:rsid w:val="003A4AD5"/>
    <w:rsid w:val="00440168"/>
    <w:rsid w:val="00484AC1"/>
    <w:rsid w:val="0049161A"/>
    <w:rsid w:val="00540919"/>
    <w:rsid w:val="00542B78"/>
    <w:rsid w:val="00641676"/>
    <w:rsid w:val="00653396"/>
    <w:rsid w:val="00697703"/>
    <w:rsid w:val="007B741F"/>
    <w:rsid w:val="007C5F75"/>
    <w:rsid w:val="007F3B9C"/>
    <w:rsid w:val="00873576"/>
    <w:rsid w:val="00902182"/>
    <w:rsid w:val="00903C8C"/>
    <w:rsid w:val="009077FC"/>
    <w:rsid w:val="009872CC"/>
    <w:rsid w:val="009A668D"/>
    <w:rsid w:val="009B609B"/>
    <w:rsid w:val="00AD2A1E"/>
    <w:rsid w:val="00AE339C"/>
    <w:rsid w:val="00AF11E5"/>
    <w:rsid w:val="00BA5455"/>
    <w:rsid w:val="00BD0AB3"/>
    <w:rsid w:val="00BF5CA2"/>
    <w:rsid w:val="00C02092"/>
    <w:rsid w:val="00C355D8"/>
    <w:rsid w:val="00C5EF38"/>
    <w:rsid w:val="00D33FBB"/>
    <w:rsid w:val="00D75839"/>
    <w:rsid w:val="00E22802"/>
    <w:rsid w:val="00E235F2"/>
    <w:rsid w:val="00E27629"/>
    <w:rsid w:val="00E37248"/>
    <w:rsid w:val="00E5555C"/>
    <w:rsid w:val="00FE793F"/>
    <w:rsid w:val="06B9E630"/>
    <w:rsid w:val="07FC71EE"/>
    <w:rsid w:val="0D1331A5"/>
    <w:rsid w:val="0D603879"/>
    <w:rsid w:val="141FE0B2"/>
    <w:rsid w:val="14FAEFFE"/>
    <w:rsid w:val="18813815"/>
    <w:rsid w:val="18974975"/>
    <w:rsid w:val="2202764C"/>
    <w:rsid w:val="223E9305"/>
    <w:rsid w:val="244AF24D"/>
    <w:rsid w:val="24881415"/>
    <w:rsid w:val="2A70012C"/>
    <w:rsid w:val="2BC0750A"/>
    <w:rsid w:val="2C396747"/>
    <w:rsid w:val="36F600FC"/>
    <w:rsid w:val="42CA7F3B"/>
    <w:rsid w:val="4310F5FB"/>
    <w:rsid w:val="47CC1D74"/>
    <w:rsid w:val="48461D4F"/>
    <w:rsid w:val="4B9E7C8C"/>
    <w:rsid w:val="4F681C75"/>
    <w:rsid w:val="520D31FE"/>
    <w:rsid w:val="52748C7E"/>
    <w:rsid w:val="55F95A6A"/>
    <w:rsid w:val="5CAC7EE9"/>
    <w:rsid w:val="5F1D5373"/>
    <w:rsid w:val="5F5E19EE"/>
    <w:rsid w:val="60ED49A7"/>
    <w:rsid w:val="61195596"/>
    <w:rsid w:val="63942D3A"/>
    <w:rsid w:val="6454F302"/>
    <w:rsid w:val="6D2DEDE7"/>
    <w:rsid w:val="6E6E7796"/>
    <w:rsid w:val="703D5B2D"/>
    <w:rsid w:val="70D7C5EE"/>
    <w:rsid w:val="752D8BCF"/>
    <w:rsid w:val="76073D47"/>
    <w:rsid w:val="7C4A60BB"/>
    <w:rsid w:val="7D66CD95"/>
    <w:rsid w:val="7E1EDB38"/>
    <w:rsid w:val="7F65B61F"/>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EC29EFF"/>
  <w15:chartTrackingRefBased/>
  <w15:docId w15:val="{0918DB3E-C35F-44E1-ACB8-6B46C9CB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B78"/>
    <w:pPr>
      <w:keepNext/>
      <w:keepLines/>
      <w:spacing w:before="240" w:after="0"/>
      <w:outlineLvl w:val="0"/>
    </w:pPr>
    <w:rPr>
      <w:rFonts w:asciiTheme="majorHAnsi" w:eastAsiaTheme="minorEastAsia" w:hAnsiTheme="majorHAnsi" w:cstheme="majorEastAsia"/>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numbering" w:customStyle="1" w:styleId="CurrentList1">
    <w:name w:val="Current List1"/>
    <w:uiPriority w:val="99"/>
    <w:pPr>
      <w:numPr>
        <w:numId w:val="16"/>
      </w:numPr>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normaltextrun">
    <w:name w:val="normaltextrun"/>
    <w:basedOn w:val="DefaultParagraphFont"/>
  </w:style>
  <w:style w:type="character" w:customStyle="1" w:styleId="eop">
    <w:name w:val="eop"/>
    <w:basedOn w:val="DefaultParagraphFont"/>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Pr>
      <w:rFonts w:ascii="Calibri" w:eastAsia="Calibri" w:hAnsi="Calibri" w:cs="Calibri"/>
      <w:lang w:val="en-US"/>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sid w:val="47CC1D74"/>
    <w:rPr>
      <w:rFonts w:asciiTheme="majorHAnsi" w:eastAsiaTheme="minorEastAsia" w:hAnsiTheme="majorHAnsi" w:cstheme="majorEastAsia"/>
      <w:color w:val="2F5496" w:themeColor="accent1" w:themeShade="BF"/>
      <w:sz w:val="40"/>
      <w:szCs w:val="40"/>
    </w:rPr>
  </w:style>
  <w:style w:type="character" w:customStyle="1" w:styleId="Heading1Char1">
    <w:name w:val="Heading 1 Char1"/>
    <w:basedOn w:val="DefaultParagraphFont"/>
    <w:uiPriority w:val="9"/>
    <w:rsid w:val="00542B7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7699">
      <w:bodyDiv w:val="1"/>
      <w:marLeft w:val="0"/>
      <w:marRight w:val="0"/>
      <w:marTop w:val="0"/>
      <w:marBottom w:val="0"/>
      <w:divBdr>
        <w:top w:val="none" w:sz="0" w:space="0" w:color="auto"/>
        <w:left w:val="none" w:sz="0" w:space="0" w:color="auto"/>
        <w:bottom w:val="none" w:sz="0" w:space="0" w:color="auto"/>
        <w:right w:val="none" w:sz="0" w:space="0" w:color="auto"/>
      </w:divBdr>
    </w:div>
    <w:div w:id="344864582">
      <w:bodyDiv w:val="1"/>
      <w:marLeft w:val="0"/>
      <w:marRight w:val="0"/>
      <w:marTop w:val="0"/>
      <w:marBottom w:val="0"/>
      <w:divBdr>
        <w:top w:val="none" w:sz="0" w:space="0" w:color="auto"/>
        <w:left w:val="none" w:sz="0" w:space="0" w:color="auto"/>
        <w:bottom w:val="none" w:sz="0" w:space="0" w:color="auto"/>
        <w:right w:val="none" w:sz="0" w:space="0" w:color="auto"/>
      </w:divBdr>
    </w:div>
    <w:div w:id="350760801">
      <w:bodyDiv w:val="1"/>
      <w:marLeft w:val="0"/>
      <w:marRight w:val="0"/>
      <w:marTop w:val="0"/>
      <w:marBottom w:val="0"/>
      <w:divBdr>
        <w:top w:val="none" w:sz="0" w:space="0" w:color="auto"/>
        <w:left w:val="none" w:sz="0" w:space="0" w:color="auto"/>
        <w:bottom w:val="none" w:sz="0" w:space="0" w:color="auto"/>
        <w:right w:val="none" w:sz="0" w:space="0" w:color="auto"/>
      </w:divBdr>
    </w:div>
    <w:div w:id="626010090">
      <w:bodyDiv w:val="1"/>
      <w:marLeft w:val="0"/>
      <w:marRight w:val="0"/>
      <w:marTop w:val="0"/>
      <w:marBottom w:val="0"/>
      <w:divBdr>
        <w:top w:val="none" w:sz="0" w:space="0" w:color="auto"/>
        <w:left w:val="none" w:sz="0" w:space="0" w:color="auto"/>
        <w:bottom w:val="none" w:sz="0" w:space="0" w:color="auto"/>
        <w:right w:val="none" w:sz="0" w:space="0" w:color="auto"/>
      </w:divBdr>
    </w:div>
    <w:div w:id="653220156">
      <w:bodyDiv w:val="1"/>
      <w:marLeft w:val="0"/>
      <w:marRight w:val="0"/>
      <w:marTop w:val="0"/>
      <w:marBottom w:val="0"/>
      <w:divBdr>
        <w:top w:val="none" w:sz="0" w:space="0" w:color="auto"/>
        <w:left w:val="none" w:sz="0" w:space="0" w:color="auto"/>
        <w:bottom w:val="none" w:sz="0" w:space="0" w:color="auto"/>
        <w:right w:val="none" w:sz="0" w:space="0" w:color="auto"/>
      </w:divBdr>
    </w:div>
    <w:div w:id="833642931">
      <w:bodyDiv w:val="1"/>
      <w:marLeft w:val="0"/>
      <w:marRight w:val="0"/>
      <w:marTop w:val="0"/>
      <w:marBottom w:val="0"/>
      <w:divBdr>
        <w:top w:val="none" w:sz="0" w:space="0" w:color="auto"/>
        <w:left w:val="none" w:sz="0" w:space="0" w:color="auto"/>
        <w:bottom w:val="none" w:sz="0" w:space="0" w:color="auto"/>
        <w:right w:val="none" w:sz="0" w:space="0" w:color="auto"/>
      </w:divBdr>
    </w:div>
    <w:div w:id="868421030">
      <w:bodyDiv w:val="1"/>
      <w:marLeft w:val="0"/>
      <w:marRight w:val="0"/>
      <w:marTop w:val="0"/>
      <w:marBottom w:val="0"/>
      <w:divBdr>
        <w:top w:val="none" w:sz="0" w:space="0" w:color="auto"/>
        <w:left w:val="none" w:sz="0" w:space="0" w:color="auto"/>
        <w:bottom w:val="none" w:sz="0" w:space="0" w:color="auto"/>
        <w:right w:val="none" w:sz="0" w:space="0" w:color="auto"/>
      </w:divBdr>
    </w:div>
    <w:div w:id="975648169">
      <w:bodyDiv w:val="1"/>
      <w:marLeft w:val="0"/>
      <w:marRight w:val="0"/>
      <w:marTop w:val="0"/>
      <w:marBottom w:val="0"/>
      <w:divBdr>
        <w:top w:val="none" w:sz="0" w:space="0" w:color="auto"/>
        <w:left w:val="none" w:sz="0" w:space="0" w:color="auto"/>
        <w:bottom w:val="none" w:sz="0" w:space="0" w:color="auto"/>
        <w:right w:val="none" w:sz="0" w:space="0" w:color="auto"/>
      </w:divBdr>
    </w:div>
    <w:div w:id="1017343268">
      <w:bodyDiv w:val="1"/>
      <w:marLeft w:val="0"/>
      <w:marRight w:val="0"/>
      <w:marTop w:val="0"/>
      <w:marBottom w:val="0"/>
      <w:divBdr>
        <w:top w:val="none" w:sz="0" w:space="0" w:color="auto"/>
        <w:left w:val="none" w:sz="0" w:space="0" w:color="auto"/>
        <w:bottom w:val="none" w:sz="0" w:space="0" w:color="auto"/>
        <w:right w:val="none" w:sz="0" w:space="0" w:color="auto"/>
      </w:divBdr>
    </w:div>
    <w:div w:id="1329869216">
      <w:bodyDiv w:val="1"/>
      <w:marLeft w:val="0"/>
      <w:marRight w:val="0"/>
      <w:marTop w:val="0"/>
      <w:marBottom w:val="0"/>
      <w:divBdr>
        <w:top w:val="none" w:sz="0" w:space="0" w:color="auto"/>
        <w:left w:val="none" w:sz="0" w:space="0" w:color="auto"/>
        <w:bottom w:val="none" w:sz="0" w:space="0" w:color="auto"/>
        <w:right w:val="none" w:sz="0" w:space="0" w:color="auto"/>
      </w:divBdr>
    </w:div>
    <w:div w:id="1521118976">
      <w:bodyDiv w:val="1"/>
      <w:marLeft w:val="0"/>
      <w:marRight w:val="0"/>
      <w:marTop w:val="0"/>
      <w:marBottom w:val="0"/>
      <w:divBdr>
        <w:top w:val="none" w:sz="0" w:space="0" w:color="auto"/>
        <w:left w:val="none" w:sz="0" w:space="0" w:color="auto"/>
        <w:bottom w:val="none" w:sz="0" w:space="0" w:color="auto"/>
        <w:right w:val="none" w:sz="0" w:space="0" w:color="auto"/>
      </w:divBdr>
    </w:div>
    <w:div w:id="1745251283">
      <w:bodyDiv w:val="1"/>
      <w:marLeft w:val="0"/>
      <w:marRight w:val="0"/>
      <w:marTop w:val="0"/>
      <w:marBottom w:val="0"/>
      <w:divBdr>
        <w:top w:val="none" w:sz="0" w:space="0" w:color="auto"/>
        <w:left w:val="none" w:sz="0" w:space="0" w:color="auto"/>
        <w:bottom w:val="none" w:sz="0" w:space="0" w:color="auto"/>
        <w:right w:val="none" w:sz="0" w:space="0" w:color="auto"/>
      </w:divBdr>
    </w:div>
    <w:div w:id="211583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eccc.europa.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9F34D2E4A26643BFE6A8DC71F6C8DE" ma:contentTypeVersion="13" ma:contentTypeDescription="Create a new document." ma:contentTypeScope="" ma:versionID="53cf44fbed887cc4510b5d82efc563e2">
  <xsd:schema xmlns:xsd="http://www.w3.org/2001/XMLSchema" xmlns:xs="http://www.w3.org/2001/XMLSchema" xmlns:p="http://schemas.microsoft.com/office/2006/metadata/properties" xmlns:ns2="16407f52-adb4-4bdd-9b6b-e05ff6371a6b" xmlns:ns3="3b2fa5b3-ff1a-4273-802a-de4d3a79be30" targetNamespace="http://schemas.microsoft.com/office/2006/metadata/properties" ma:root="true" ma:fieldsID="9bd5773054610eead2c42a4e8c851a83" ns2:_="" ns3:_="">
    <xsd:import namespace="16407f52-adb4-4bdd-9b6b-e05ff6371a6b"/>
    <xsd:import namespace="3b2fa5b3-ff1a-4273-802a-de4d3a79be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07f52-adb4-4bdd-9b6b-e05ff6371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51e7c85-5697-4169-8760-745f83eb4a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fa5b3-ff1a-4273-802a-de4d3a79be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a2cc11-2dba-45a0-9259-dbdcf55134ac}" ma:internalName="TaxCatchAll" ma:showField="CatchAllData" ma:web="3b2fa5b3-ff1a-4273-802a-de4d3a79b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2fa5b3-ff1a-4273-802a-de4d3a79be30" xsi:nil="true"/>
    <lcf76f155ced4ddcb4097134ff3c332f xmlns="16407f52-adb4-4bdd-9b6b-e05ff6371a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C25069-EE57-486A-8A54-41AD44B1D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07f52-adb4-4bdd-9b6b-e05ff6371a6b"/>
    <ds:schemaRef ds:uri="3b2fa5b3-ff1a-4273-802a-de4d3a79b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E37AE8-4386-4982-9582-BB50D153C92D}">
  <ds:schemaRefs>
    <ds:schemaRef ds:uri="http://schemas.microsoft.com/sharepoint/v3/contenttype/forms"/>
  </ds:schemaRefs>
</ds:datastoreItem>
</file>

<file path=customXml/itemProps3.xml><?xml version="1.0" encoding="utf-8"?>
<ds:datastoreItem xmlns:ds="http://schemas.openxmlformats.org/officeDocument/2006/customXml" ds:itemID="{B8F1078D-D2C2-436A-82CC-18066F58E871}">
  <ds:schemaRefs>
    <ds:schemaRef ds:uri="http://purl.org/dc/terms/"/>
    <ds:schemaRef ds:uri="http://schemas.openxmlformats.org/package/2006/metadata/core-properties"/>
    <ds:schemaRef ds:uri="http://purl.org/dc/dcmitype/"/>
    <ds:schemaRef ds:uri="http://schemas.microsoft.com/office/2006/documentManagement/types"/>
    <ds:schemaRef ds:uri="16407f52-adb4-4bdd-9b6b-e05ff6371a6b"/>
    <ds:schemaRef ds:uri="http://purl.org/dc/elements/1.1/"/>
    <ds:schemaRef ds:uri="http://schemas.microsoft.com/office/2006/metadata/properties"/>
    <ds:schemaRef ds:uri="http://www.w3.org/XML/1998/namespace"/>
    <ds:schemaRef ds:uri="http://schemas.microsoft.com/office/infopath/2007/PartnerControls"/>
    <ds:schemaRef ds:uri="3b2fa5b3-ff1a-4273-802a-de4d3a79be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3959</Characters>
  <Application>Microsoft Office Word</Application>
  <DocSecurity>0</DocSecurity>
  <Lines>32</Lines>
  <Paragraphs>9</Paragraphs>
  <ScaleCrop>false</ScaleCrop>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VAHLGREN Frederik (CNECT)</dc:creator>
  <cp:keywords/>
  <dc:description/>
  <cp:lastModifiedBy>Prokopios Drogkaris - ENISA</cp:lastModifiedBy>
  <cp:revision>3</cp:revision>
  <dcterms:created xsi:type="dcterms:W3CDTF">2025-04-04T13:26:00Z</dcterms:created>
  <dcterms:modified xsi:type="dcterms:W3CDTF">2025-04-04T13:26:00Z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2023-04-26T15:09:58Z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0e8f60d7-3f36-447d-99d5-3c5b7173a8e0</vt:lpwstr>
  </property>
  <property fmtid="{D5CDD505-2E9C-101B-9397-08002B2CF9AE}" pid="8" name="MSIP_Label_6bd9ddd1-4d20-43f6-abfa-fc3c07406f94_ContentBits">
    <vt:lpwstr>0</vt:lpwstr>
  </property>
  <property fmtid="{D5CDD505-2E9C-101B-9397-08002B2CF9AE}" pid="9" name="ContentTypeId">
    <vt:lpwstr>0x010100D99F34D2E4A26643BFE6A8DC71F6C8DE</vt:lpwstr>
  </property>
  <property fmtid="{D5CDD505-2E9C-101B-9397-08002B2CF9AE}" pid="10" name="MediaServiceImageTags">
    <vt:lpwstr/>
  </property>
</Properties>
</file>