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AC1" w:rsidRDefault="00484AC1" w14:paraId="06B92300" w14:textId="03B699FA">
      <w:pPr>
        <w:rPr>
          <w:b/>
          <w:bCs/>
        </w:rPr>
      </w:pPr>
    </w:p>
    <w:p w:rsidR="00484AC1" w:rsidP="00D80EC1" w:rsidRDefault="00D80EC1" w14:paraId="07806C94" w14:textId="072CF9D4">
      <w:pPr>
        <w:pStyle w:val="Heading1"/>
      </w:pPr>
      <w:r w:rsidR="00D80EC1">
        <w:rPr/>
        <w:t xml:space="preserve">Record of processing activity No </w:t>
      </w:r>
      <w:r w:rsidR="3AC0287F">
        <w:rPr/>
        <w:t>12</w:t>
      </w:r>
      <w:r w:rsidR="00D80EC1">
        <w:rPr/>
        <w:t xml:space="preserve"> – </w:t>
      </w:r>
      <w:r w:rsidR="6259ED1B">
        <w:rPr/>
        <w:t>Newsletter</w:t>
      </w:r>
      <w:r w:rsidR="00D80EC1">
        <w:rPr/>
        <w:t xml:space="preserve"> </w:t>
      </w:r>
    </w:p>
    <w:p w:rsidRPr="00D80EC1" w:rsidR="00D80EC1" w:rsidP="00D80EC1" w:rsidRDefault="00D80EC1" w14:paraId="3589CE6C" w14:textId="77777777"/>
    <w:tbl>
      <w:tblPr>
        <w:tblStyle w:val="TableGrid"/>
        <w:tblW w:w="9067" w:type="dxa"/>
        <w:tblLook w:val="04A0" w:firstRow="1" w:lastRow="0" w:firstColumn="1" w:lastColumn="0" w:noHBand="0" w:noVBand="1"/>
      </w:tblPr>
      <w:tblGrid>
        <w:gridCol w:w="2547"/>
        <w:gridCol w:w="6520"/>
      </w:tblGrid>
      <w:tr w:rsidR="00484AC1" w:rsidTr="0453BF76" w14:paraId="618B7154" w14:textId="77777777">
        <w:tc>
          <w:tcPr>
            <w:tcW w:w="2547" w:type="dxa"/>
            <w:tcMar/>
          </w:tcPr>
          <w:p w:rsidR="00484AC1" w:rsidRDefault="00903C8C" w14:paraId="25C565AA" w14:textId="77777777">
            <w:pPr>
              <w:jc w:val="both"/>
            </w:pPr>
            <w:r>
              <w:t>Title</w:t>
            </w:r>
          </w:p>
        </w:tc>
        <w:tc>
          <w:tcPr>
            <w:tcW w:w="6520" w:type="dxa"/>
            <w:tcMar/>
          </w:tcPr>
          <w:p w:rsidRPr="00BB2DF3" w:rsidR="00484AC1" w:rsidRDefault="000A2FEF" w14:paraId="20D9E0A2" w14:textId="1A52D626">
            <w:pPr>
              <w:jc w:val="both"/>
              <w:rPr>
                <w:b w:val="1"/>
                <w:bCs w:val="1"/>
              </w:rPr>
            </w:pPr>
            <w:r w:rsidRPr="27E89909" w:rsidR="27E1D38D">
              <w:rPr>
                <w:b w:val="1"/>
                <w:bCs w:val="1"/>
              </w:rPr>
              <w:t>Newsletter</w:t>
            </w:r>
          </w:p>
        </w:tc>
      </w:tr>
      <w:tr w:rsidR="00484AC1" w:rsidTr="0453BF76" w14:paraId="0D6E8133" w14:textId="77777777">
        <w:tc>
          <w:tcPr>
            <w:tcW w:w="2547" w:type="dxa"/>
            <w:tcMar/>
          </w:tcPr>
          <w:p w:rsidR="00484AC1" w:rsidRDefault="00903C8C" w14:paraId="3D87927C" w14:textId="77777777">
            <w:pPr>
              <w:jc w:val="both"/>
            </w:pPr>
            <w:r>
              <w:t>Name and contact details of controller</w:t>
            </w:r>
          </w:p>
        </w:tc>
        <w:tc>
          <w:tcPr>
            <w:tcW w:w="6520" w:type="dxa"/>
            <w:tcMar/>
          </w:tcPr>
          <w:p w:rsidR="00484AC1" w:rsidRDefault="00184A28" w14:paraId="1BD31F8F" w14:textId="49C3DBB1">
            <w:pPr>
              <w:jc w:val="both"/>
            </w:pPr>
            <w:r w:rsidR="00184A28">
              <w:rPr/>
              <w:t>ECCC, Administration Unit, IT</w:t>
            </w:r>
            <w:r w:rsidR="00D9307A">
              <w:rPr/>
              <w:t>, in</w:t>
            </w:r>
            <w:r w:rsidR="00895D06">
              <w:rPr/>
              <w:t xml:space="preserve">fo [at] eccc.europa.eu </w:t>
            </w:r>
            <w:r w:rsidR="587EEC80">
              <w:rPr/>
              <w:t xml:space="preserve">or </w:t>
            </w:r>
            <w:r w:rsidR="587EEC80">
              <w:rPr/>
              <w:t>eu</w:t>
            </w:r>
            <w:r w:rsidR="587EEC80">
              <w:rPr/>
              <w:t>-cybersecurity-competence-centre-press [at] ec.europa.eu</w:t>
            </w:r>
          </w:p>
        </w:tc>
      </w:tr>
      <w:tr w:rsidR="00484AC1" w:rsidTr="0453BF76" w14:paraId="2C19A798" w14:textId="77777777">
        <w:tc>
          <w:tcPr>
            <w:tcW w:w="2547" w:type="dxa"/>
            <w:tcMar/>
          </w:tcPr>
          <w:p w:rsidR="00484AC1" w:rsidRDefault="00903C8C" w14:paraId="635F499B" w14:textId="77777777">
            <w:pPr>
              <w:jc w:val="both"/>
            </w:pPr>
            <w:r>
              <w:t>Name and contact details of DPO</w:t>
            </w:r>
          </w:p>
        </w:tc>
        <w:tc>
          <w:tcPr>
            <w:tcW w:w="6520" w:type="dxa"/>
            <w:tcMar/>
          </w:tcPr>
          <w:p w:rsidR="00484AC1" w:rsidRDefault="006253AC" w14:paraId="5997B578" w14:textId="378878D5">
            <w:pPr>
              <w:jc w:val="both"/>
            </w:pPr>
            <w:r w:rsidRPr="0C31D81D">
              <w:rPr>
                <w:rFonts w:ascii="Calibri" w:hAnsi="Calibri" w:eastAsia="Calibri" w:cs="Calibri"/>
                <w:color w:val="000000" w:themeColor="text1"/>
              </w:rPr>
              <w:t>data-protection [at] eccc.europa.eu</w:t>
            </w:r>
          </w:p>
        </w:tc>
      </w:tr>
      <w:tr w:rsidR="00484AC1" w:rsidTr="0453BF76" w14:paraId="54F4A25A" w14:textId="77777777">
        <w:tc>
          <w:tcPr>
            <w:tcW w:w="2547" w:type="dxa"/>
            <w:tcMar/>
          </w:tcPr>
          <w:p w:rsidR="00484AC1" w:rsidRDefault="00903C8C" w14:paraId="6F3F3461" w14:textId="77777777">
            <w:pPr>
              <w:jc w:val="both"/>
            </w:pPr>
            <w:r>
              <w:t>Name and contact details of Joint Controller</w:t>
            </w:r>
          </w:p>
        </w:tc>
        <w:tc>
          <w:tcPr>
            <w:tcW w:w="6520" w:type="dxa"/>
            <w:tcMar/>
          </w:tcPr>
          <w:p w:rsidR="00484AC1" w:rsidRDefault="00184A28" w14:paraId="66C955FC" w14:textId="3C8E4CD2">
            <w:pPr>
              <w:jc w:val="both"/>
            </w:pPr>
            <w:r>
              <w:t>N/A</w:t>
            </w:r>
          </w:p>
        </w:tc>
      </w:tr>
      <w:tr w:rsidR="00484AC1" w:rsidTr="0453BF76" w14:paraId="00606CDE" w14:textId="77777777">
        <w:tc>
          <w:tcPr>
            <w:tcW w:w="2547" w:type="dxa"/>
            <w:tcMar/>
          </w:tcPr>
          <w:p w:rsidR="00484AC1" w:rsidRDefault="00903C8C" w14:paraId="48052F8F" w14:textId="77777777">
            <w:pPr>
              <w:jc w:val="both"/>
            </w:pPr>
            <w:r>
              <w:t>Name and contact details of processor</w:t>
            </w:r>
          </w:p>
        </w:tc>
        <w:tc>
          <w:tcPr>
            <w:tcW w:w="6520" w:type="dxa"/>
            <w:tcMar/>
          </w:tcPr>
          <w:p w:rsidR="00484AC1" w:rsidP="00576037" w:rsidRDefault="00576037" w14:paraId="09FE6B20" w14:textId="01B86E4B">
            <w:pPr>
              <w:jc w:val="both"/>
            </w:pPr>
            <w:r w:rsidR="07C96FFF">
              <w:rPr/>
              <w:t>European Commission, Directorate-General for Communications Networks, Content and Technology (DG Connect), Unit R.3</w:t>
            </w:r>
          </w:p>
        </w:tc>
      </w:tr>
      <w:tr w:rsidR="00484AC1" w:rsidTr="0453BF76" w14:paraId="72BB286B" w14:textId="77777777">
        <w:tc>
          <w:tcPr>
            <w:tcW w:w="2547" w:type="dxa"/>
            <w:tcMar/>
          </w:tcPr>
          <w:p w:rsidR="00484AC1" w:rsidRDefault="00903C8C" w14:paraId="0E3D23A5" w14:textId="77777777">
            <w:pPr>
              <w:jc w:val="both"/>
            </w:pPr>
            <w:r>
              <w:t>Purpose of the processing</w:t>
            </w:r>
          </w:p>
        </w:tc>
        <w:tc>
          <w:tcPr>
            <w:tcW w:w="6520" w:type="dxa"/>
            <w:tcMar/>
          </w:tcPr>
          <w:p w:rsidRPr="00EE2426" w:rsidR="00D56157" w:rsidP="27E89909" w:rsidRDefault="009910B0" w14:paraId="5A8D1DC0" w14:textId="3EEB9D65">
            <w:pPr>
              <w:pStyle w:val="Normal"/>
              <w:suppressLineNumbers w:val="0"/>
              <w:bidi w:val="0"/>
              <w:spacing w:before="0" w:beforeAutospacing="off" w:after="0" w:afterAutospacing="off" w:line="240" w:lineRule="auto"/>
              <w:ind w:right="0"/>
              <w:jc w:val="both"/>
              <w:rPr>
                <w:noProof w:val="0"/>
                <w:sz w:val="22"/>
                <w:szCs w:val="22"/>
                <w:lang w:val="en-IE"/>
              </w:rPr>
            </w:pPr>
            <w:r w:rsidR="00A63E81">
              <w:rPr/>
              <w:t>The purpose of the processing is to</w:t>
            </w:r>
            <w:r w:rsidR="6DBDD8E1">
              <w:rPr/>
              <w:t xml:space="preserve"> allow interested individuals to</w:t>
            </w:r>
            <w:r w:rsidRPr="27E89909" w:rsidR="6AA19C28">
              <w:rPr>
                <w:noProof w:val="0"/>
                <w:lang w:val="en-IE"/>
              </w:rPr>
              <w:t xml:space="preserve"> receive the European Cybersecurity Competence Centre Newsletter and information on different topics </w:t>
            </w:r>
            <w:r w:rsidRPr="27E89909" w:rsidR="6AA19C28">
              <w:rPr>
                <w:noProof w:val="0"/>
                <w:lang w:val="en-IE"/>
              </w:rPr>
              <w:t>in the area of</w:t>
            </w:r>
            <w:r w:rsidRPr="27E89909" w:rsidR="6AA19C28">
              <w:rPr>
                <w:noProof w:val="0"/>
                <w:lang w:val="en-IE"/>
              </w:rPr>
              <w:t xml:space="preserve"> services of the ECCC</w:t>
            </w:r>
            <w:r w:rsidRPr="27E89909" w:rsidR="176EE611">
              <w:rPr>
                <w:noProof w:val="0"/>
                <w:lang w:val="en-IE"/>
              </w:rPr>
              <w:t>.</w:t>
            </w:r>
          </w:p>
        </w:tc>
      </w:tr>
      <w:tr w:rsidR="00484AC1" w:rsidTr="0453BF76" w14:paraId="4828C470" w14:textId="77777777">
        <w:tc>
          <w:tcPr>
            <w:tcW w:w="2547" w:type="dxa"/>
            <w:tcMar/>
          </w:tcPr>
          <w:p w:rsidR="00484AC1" w:rsidRDefault="00903C8C" w14:paraId="110A82D7" w14:textId="77777777">
            <w:pPr>
              <w:jc w:val="both"/>
            </w:pPr>
            <w:r>
              <w:t>Description of data subjects</w:t>
            </w:r>
          </w:p>
        </w:tc>
        <w:tc>
          <w:tcPr>
            <w:tcW w:w="6520" w:type="dxa"/>
            <w:tcMar/>
          </w:tcPr>
          <w:p w:rsidR="00484AC1" w:rsidP="0453BF76" w:rsidRDefault="00D56157" w14:paraId="5B4A3038" w14:textId="29384C2B">
            <w:pPr>
              <w:pStyle w:val="Normal"/>
              <w:suppressLineNumbers w:val="0"/>
              <w:spacing w:before="0" w:beforeAutospacing="off" w:after="0" w:afterAutospacing="off" w:line="240" w:lineRule="auto"/>
              <w:ind w:left="0" w:right="0"/>
              <w:jc w:val="both"/>
            </w:pPr>
            <w:r w:rsidR="3E27AE05">
              <w:rPr/>
              <w:t>Individuals who express their interest in becoming subscribers to the ECCC newsletter.</w:t>
            </w:r>
          </w:p>
        </w:tc>
      </w:tr>
      <w:tr w:rsidR="00484AC1" w:rsidTr="0453BF76" w14:paraId="02D028B7" w14:textId="77777777">
        <w:trPr>
          <w:trHeight w:val="1124"/>
        </w:trPr>
        <w:tc>
          <w:tcPr>
            <w:tcW w:w="2547" w:type="dxa"/>
            <w:tcMar/>
          </w:tcPr>
          <w:p w:rsidR="00484AC1" w:rsidRDefault="00903C8C" w14:paraId="5F04CC56" w14:textId="77777777">
            <w:pPr>
              <w:jc w:val="both"/>
            </w:pPr>
            <w:r>
              <w:t>Description of data categories</w:t>
            </w:r>
          </w:p>
        </w:tc>
        <w:tc>
          <w:tcPr>
            <w:tcW w:w="6520" w:type="dxa"/>
            <w:tcMar/>
          </w:tcPr>
          <w:p w:rsidRPr="00C40D08" w:rsidR="0056734D" w:rsidP="0453BF76" w:rsidRDefault="0056734D" w14:paraId="2D4B37C2" w14:textId="7D79C8F1">
            <w:pPr>
              <w:pStyle w:val="Normal"/>
              <w:suppressLineNumbers w:val="0"/>
              <w:bidi w:val="0"/>
              <w:spacing w:before="0" w:beforeAutospacing="off" w:after="0" w:afterAutospacing="off" w:line="240" w:lineRule="auto"/>
              <w:ind w:left="0" w:right="0"/>
              <w:jc w:val="both"/>
            </w:pPr>
            <w:r w:rsidR="1CE83C3F">
              <w:rPr/>
              <w:t xml:space="preserve">The following types and categories of personal </w:t>
            </w:r>
            <w:r w:rsidR="1CE83C3F">
              <w:rPr/>
              <w:t>data are being processed</w:t>
            </w:r>
            <w:r w:rsidR="58B97228">
              <w:rPr/>
              <w:t>:</w:t>
            </w:r>
          </w:p>
          <w:p w:rsidR="00484AC1" w:rsidP="0453BF76" w:rsidRDefault="00484AC1" w14:paraId="2A9E0126" w14:textId="30E4E960">
            <w:pPr>
              <w:pStyle w:val="ListParagraph"/>
              <w:numPr>
                <w:ilvl w:val="0"/>
                <w:numId w:val="41"/>
              </w:numPr>
              <w:suppressLineNumbers w:val="0"/>
              <w:bidi w:val="0"/>
              <w:spacing w:before="0" w:beforeAutospacing="off" w:after="0" w:afterAutospacing="off" w:line="240" w:lineRule="auto"/>
              <w:ind w:right="0"/>
              <w:jc w:val="both"/>
              <w:rPr>
                <w:sz w:val="22"/>
                <w:szCs w:val="22"/>
              </w:rPr>
            </w:pPr>
            <w:r w:rsidR="2343458E">
              <w:rPr/>
              <w:t xml:space="preserve">e-mail address; </w:t>
            </w:r>
          </w:p>
          <w:p w:rsidR="00484AC1" w:rsidP="0453BF76" w:rsidRDefault="00484AC1" w14:paraId="56DF84DB" w14:textId="5025720D">
            <w:pPr>
              <w:pStyle w:val="ListParagraph"/>
              <w:numPr>
                <w:ilvl w:val="0"/>
                <w:numId w:val="41"/>
              </w:numPr>
              <w:suppressLineNumbers w:val="0"/>
              <w:bidi w:val="0"/>
              <w:spacing w:before="0" w:beforeAutospacing="off" w:after="0" w:afterAutospacing="off" w:line="240" w:lineRule="auto"/>
              <w:ind w:right="0"/>
              <w:jc w:val="both"/>
              <w:rPr>
                <w:sz w:val="22"/>
                <w:szCs w:val="22"/>
              </w:rPr>
            </w:pPr>
            <w:r w:rsidR="2343458E">
              <w:rPr/>
              <w:t xml:space="preserve">frequency of notifications, and </w:t>
            </w:r>
          </w:p>
          <w:p w:rsidR="00484AC1" w:rsidP="0453BF76" w:rsidRDefault="00484AC1" w14:paraId="5C8559BA" w14:textId="58CE58A8">
            <w:pPr>
              <w:pStyle w:val="ListParagraph"/>
              <w:numPr>
                <w:ilvl w:val="0"/>
                <w:numId w:val="41"/>
              </w:numPr>
              <w:suppressLineNumbers w:val="0"/>
              <w:bidi w:val="0"/>
              <w:spacing w:before="0" w:beforeAutospacing="off" w:after="0" w:afterAutospacing="off" w:line="240" w:lineRule="auto"/>
              <w:ind w:right="0"/>
              <w:jc w:val="both"/>
              <w:rPr>
                <w:sz w:val="22"/>
                <w:szCs w:val="22"/>
              </w:rPr>
            </w:pPr>
            <w:r w:rsidR="2343458E">
              <w:rPr/>
              <w:t>topics of interest (when applicable).</w:t>
            </w:r>
          </w:p>
        </w:tc>
      </w:tr>
      <w:tr w:rsidR="00484AC1" w:rsidTr="0453BF76" w14:paraId="41AC99D1" w14:textId="77777777">
        <w:tc>
          <w:tcPr>
            <w:tcW w:w="2547" w:type="dxa"/>
            <w:tcMar/>
          </w:tcPr>
          <w:p w:rsidR="00484AC1" w:rsidRDefault="00903C8C" w14:paraId="06B6966D" w14:textId="77777777">
            <w:pPr>
              <w:jc w:val="both"/>
            </w:pPr>
            <w:r>
              <w:lastRenderedPageBreak/>
              <w:t>Time limits (for the erasure of data)</w:t>
            </w:r>
          </w:p>
        </w:tc>
        <w:tc>
          <w:tcPr>
            <w:tcW w:w="6520" w:type="dxa"/>
            <w:tcMar/>
          </w:tcPr>
          <w:p w:rsidR="00484AC1" w:rsidRDefault="00484AC1" w14:paraId="4F29BEC1" w14:textId="56B46547">
            <w:pPr>
              <w:jc w:val="both"/>
            </w:pPr>
            <w:r w:rsidRPr="0453BF76" w:rsidR="1378DC34">
              <w:rPr>
                <w:rFonts w:ascii="Calibri" w:hAnsi="Calibri" w:eastAsia="Calibri" w:cs="Calibri"/>
                <w:noProof w:val="0"/>
                <w:sz w:val="22"/>
                <w:szCs w:val="22"/>
                <w:lang w:val="en-IE"/>
              </w:rPr>
              <w:t xml:space="preserve">The ECCC only </w:t>
            </w:r>
            <w:r w:rsidRPr="0453BF76" w:rsidR="0B339373">
              <w:rPr>
                <w:rFonts w:ascii="Calibri" w:hAnsi="Calibri" w:eastAsia="Calibri" w:cs="Calibri"/>
                <w:noProof w:val="0"/>
                <w:sz w:val="22"/>
                <w:szCs w:val="22"/>
                <w:lang w:val="en-IE"/>
              </w:rPr>
              <w:t>retains</w:t>
            </w:r>
            <w:r w:rsidRPr="0453BF76" w:rsidR="1378DC34">
              <w:rPr>
                <w:rFonts w:ascii="Calibri" w:hAnsi="Calibri" w:eastAsia="Calibri" w:cs="Calibri"/>
                <w:noProof w:val="0"/>
                <w:sz w:val="22"/>
                <w:szCs w:val="22"/>
                <w:lang w:val="en-IE"/>
              </w:rPr>
              <w:t xml:space="preserve"> personal data for a period of five years after your last interaction with the ECCC Services or until you request the deletion of your personal data. </w:t>
            </w:r>
          </w:p>
          <w:p w:rsidR="00484AC1" w:rsidRDefault="00484AC1" w14:paraId="25B591F1" w14:textId="35803CD9">
            <w:pPr>
              <w:jc w:val="both"/>
            </w:pPr>
            <w:r w:rsidRPr="0453BF76" w:rsidR="1378DC34">
              <w:rPr>
                <w:rFonts w:ascii="Calibri" w:hAnsi="Calibri" w:eastAsia="Calibri" w:cs="Calibri"/>
                <w:noProof w:val="0"/>
                <w:sz w:val="22"/>
                <w:szCs w:val="22"/>
                <w:lang w:val="en-IE"/>
              </w:rPr>
              <w:t xml:space="preserve">If you have created a profile to </w:t>
            </w:r>
            <w:r w:rsidRPr="0453BF76" w:rsidR="1378DC34">
              <w:rPr>
                <w:rFonts w:ascii="Calibri" w:hAnsi="Calibri" w:eastAsia="Calibri" w:cs="Calibri"/>
                <w:noProof w:val="0"/>
                <w:sz w:val="22"/>
                <w:szCs w:val="22"/>
                <w:lang w:val="en-IE"/>
              </w:rPr>
              <w:t>benefit</w:t>
            </w:r>
            <w:r w:rsidRPr="0453BF76" w:rsidR="1378DC34">
              <w:rPr>
                <w:rFonts w:ascii="Calibri" w:hAnsi="Calibri" w:eastAsia="Calibri" w:cs="Calibri"/>
                <w:noProof w:val="0"/>
                <w:sz w:val="22"/>
                <w:szCs w:val="22"/>
                <w:lang w:val="en-IE"/>
              </w:rPr>
              <w:t xml:space="preserve"> from the services of the Connect Newsroom, you may edit the personal data associated at any time. You can also </w:t>
            </w:r>
            <w:r w:rsidRPr="0453BF76" w:rsidR="1378DC34">
              <w:rPr>
                <w:rFonts w:ascii="Calibri" w:hAnsi="Calibri" w:eastAsia="Calibri" w:cs="Calibri"/>
                <w:noProof w:val="0"/>
                <w:sz w:val="22"/>
                <w:szCs w:val="22"/>
                <w:lang w:val="en-IE"/>
              </w:rPr>
              <w:t>delete</w:t>
            </w:r>
            <w:r w:rsidRPr="0453BF76" w:rsidR="1378DC34">
              <w:rPr>
                <w:rFonts w:ascii="Calibri" w:hAnsi="Calibri" w:eastAsia="Calibri" w:cs="Calibri"/>
                <w:noProof w:val="0"/>
                <w:sz w:val="22"/>
                <w:szCs w:val="22"/>
                <w:lang w:val="en-IE"/>
              </w:rPr>
              <w:t xml:space="preserve"> your </w:t>
            </w:r>
            <w:r w:rsidRPr="0453BF76" w:rsidR="1378DC34">
              <w:rPr>
                <w:rFonts w:ascii="Calibri" w:hAnsi="Calibri" w:eastAsia="Calibri" w:cs="Calibri"/>
                <w:noProof w:val="0"/>
                <w:sz w:val="22"/>
                <w:szCs w:val="22"/>
                <w:lang w:val="en-IE"/>
              </w:rPr>
              <w:t>profile</w:t>
            </w:r>
            <w:r w:rsidRPr="0453BF76" w:rsidR="1378DC34">
              <w:rPr>
                <w:rFonts w:ascii="Calibri" w:hAnsi="Calibri" w:eastAsia="Calibri" w:cs="Calibri"/>
                <w:noProof w:val="0"/>
                <w:sz w:val="22"/>
                <w:szCs w:val="22"/>
                <w:lang w:val="en-IE"/>
              </w:rPr>
              <w:t xml:space="preserve"> and the personal data associated to your profile.</w:t>
            </w:r>
          </w:p>
        </w:tc>
      </w:tr>
      <w:tr w:rsidR="00484AC1" w:rsidTr="0453BF76" w14:paraId="19BC383E" w14:textId="77777777">
        <w:tc>
          <w:tcPr>
            <w:tcW w:w="2547" w:type="dxa"/>
            <w:tcMar/>
          </w:tcPr>
          <w:p w:rsidR="00484AC1" w:rsidRDefault="00903C8C" w14:paraId="1595B843" w14:textId="77777777">
            <w:pPr>
              <w:jc w:val="both"/>
            </w:pPr>
            <w:r>
              <w:t>Data recipients</w:t>
            </w:r>
          </w:p>
        </w:tc>
        <w:tc>
          <w:tcPr>
            <w:tcW w:w="6520" w:type="dxa"/>
            <w:tcMar/>
          </w:tcPr>
          <w:p w:rsidR="46E58DAA" w:rsidP="27E89909" w:rsidRDefault="46E58DAA" w14:paraId="39ACDF21" w14:textId="4EA05F98">
            <w:pPr>
              <w:pStyle w:val="ListParagraph"/>
              <w:numPr>
                <w:ilvl w:val="0"/>
                <w:numId w:val="40"/>
              </w:numPr>
              <w:ind w:left="343" w:hanging="343"/>
              <w:jc w:val="both"/>
              <w:rPr>
                <w:noProof w:val="0"/>
                <w:lang w:val="en-IE"/>
              </w:rPr>
            </w:pPr>
            <w:r w:rsidRPr="27E89909" w:rsidR="46E58DAA">
              <w:rPr>
                <w:noProof w:val="0"/>
                <w:lang w:val="en-IE"/>
              </w:rPr>
              <w:t xml:space="preserve">Access to your personal data is provided to the ECCC staff responsible for carrying out this processing operation and to other authorised ECCC staff according to the “need to know” principle. Such staff abide by statutory, and when </w:t>
            </w:r>
            <w:r w:rsidRPr="27E89909" w:rsidR="46E58DAA">
              <w:rPr>
                <w:noProof w:val="0"/>
                <w:lang w:val="en-IE"/>
              </w:rPr>
              <w:t>required</w:t>
            </w:r>
            <w:r w:rsidRPr="27E89909" w:rsidR="46E58DAA">
              <w:rPr>
                <w:noProof w:val="0"/>
                <w:lang w:val="en-IE"/>
              </w:rPr>
              <w:t xml:space="preserve">, </w:t>
            </w:r>
            <w:r w:rsidRPr="27E89909" w:rsidR="46E58DAA">
              <w:rPr>
                <w:noProof w:val="0"/>
                <w:lang w:val="en-IE"/>
              </w:rPr>
              <w:t>additional</w:t>
            </w:r>
            <w:r w:rsidRPr="27E89909" w:rsidR="46E58DAA">
              <w:rPr>
                <w:noProof w:val="0"/>
                <w:lang w:val="en-IE"/>
              </w:rPr>
              <w:t xml:space="preserve"> confidentiality agreements. </w:t>
            </w:r>
          </w:p>
          <w:p w:rsidR="46E58DAA" w:rsidP="27E89909" w:rsidRDefault="46E58DAA" w14:paraId="0B5540B3" w14:textId="3B3ED74B">
            <w:pPr>
              <w:pStyle w:val="ListParagraph"/>
              <w:numPr>
                <w:ilvl w:val="0"/>
                <w:numId w:val="40"/>
              </w:numPr>
              <w:ind w:left="343" w:hanging="343"/>
              <w:jc w:val="both"/>
              <w:rPr>
                <w:noProof w:val="0"/>
                <w:lang w:val="en-IE"/>
              </w:rPr>
            </w:pPr>
            <w:r w:rsidRPr="27E89909" w:rsidR="46E58DAA">
              <w:rPr>
                <w:noProof w:val="0"/>
                <w:lang w:val="en-IE"/>
              </w:rPr>
              <w:t xml:space="preserve">Access to your personal data is also provided to staff of DG Connect Unit R.3 in its </w:t>
            </w:r>
            <w:r w:rsidRPr="27E89909" w:rsidR="46E58DAA">
              <w:rPr>
                <w:noProof w:val="0"/>
                <w:lang w:val="en-IE"/>
              </w:rPr>
              <w:t>capacity</w:t>
            </w:r>
            <w:r w:rsidRPr="27E89909" w:rsidR="46E58DAA">
              <w:rPr>
                <w:noProof w:val="0"/>
                <w:lang w:val="en-IE"/>
              </w:rPr>
              <w:t xml:space="preserve"> as data processor. Such staff also abide by statutory, and when </w:t>
            </w:r>
            <w:r w:rsidRPr="27E89909" w:rsidR="46E58DAA">
              <w:rPr>
                <w:noProof w:val="0"/>
                <w:lang w:val="en-IE"/>
              </w:rPr>
              <w:t>required</w:t>
            </w:r>
            <w:r w:rsidRPr="27E89909" w:rsidR="46E58DAA">
              <w:rPr>
                <w:noProof w:val="0"/>
                <w:lang w:val="en-IE"/>
              </w:rPr>
              <w:t xml:space="preserve">, </w:t>
            </w:r>
            <w:r w:rsidRPr="27E89909" w:rsidR="46E58DAA">
              <w:rPr>
                <w:noProof w:val="0"/>
                <w:lang w:val="en-IE"/>
              </w:rPr>
              <w:t>additional</w:t>
            </w:r>
            <w:r w:rsidRPr="27E89909" w:rsidR="46E58DAA">
              <w:rPr>
                <w:noProof w:val="0"/>
                <w:lang w:val="en-IE"/>
              </w:rPr>
              <w:t xml:space="preserve"> confidentiality agreements.</w:t>
            </w:r>
          </w:p>
          <w:p w:rsidR="46E58DAA" w:rsidP="27E89909" w:rsidRDefault="46E58DAA" w14:paraId="5B2F1B9F" w14:textId="21C77911">
            <w:pPr>
              <w:pStyle w:val="ListParagraph"/>
              <w:numPr>
                <w:ilvl w:val="0"/>
                <w:numId w:val="40"/>
              </w:numPr>
              <w:ind w:left="343" w:hanging="343"/>
              <w:jc w:val="both"/>
              <w:rPr>
                <w:noProof w:val="0"/>
                <w:lang w:val="en-IE"/>
              </w:rPr>
            </w:pPr>
            <w:r w:rsidRPr="27E89909" w:rsidR="46E58DAA">
              <w:rPr>
                <w:noProof w:val="0"/>
                <w:lang w:val="en-IE"/>
              </w:rPr>
              <w:t>The data may also be available to EU bodies charged with monitoring or inspection tasks in application of EU law (e.g. internal audits, European Anti-fraud Office – OLAF).</w:t>
            </w:r>
          </w:p>
          <w:p w:rsidR="00484AC1" w:rsidRDefault="00484AC1" w14:paraId="2BCAAF84" w14:textId="27918B22">
            <w:pPr>
              <w:jc w:val="both"/>
            </w:pPr>
          </w:p>
        </w:tc>
      </w:tr>
      <w:tr w:rsidR="00484AC1" w:rsidTr="0453BF76" w14:paraId="3D83DAFF" w14:textId="77777777">
        <w:tc>
          <w:tcPr>
            <w:tcW w:w="2547" w:type="dxa"/>
            <w:tcMar/>
          </w:tcPr>
          <w:p w:rsidR="00484AC1" w:rsidRDefault="00903C8C" w14:paraId="64C65B78" w14:textId="77777777">
            <w:pPr>
              <w:jc w:val="both"/>
            </w:pPr>
            <w:r>
              <w:t>Transfers to third countries</w:t>
            </w:r>
          </w:p>
        </w:tc>
        <w:tc>
          <w:tcPr>
            <w:tcW w:w="6520" w:type="dxa"/>
            <w:tcMar/>
          </w:tcPr>
          <w:p w:rsidRPr="0050776D" w:rsidR="00484AC1" w:rsidP="0012779A" w:rsidRDefault="003F5FED" w14:paraId="5E42A369" w14:textId="6AFBA63F">
            <w:pPr>
              <w:jc w:val="both"/>
            </w:pPr>
            <w:r w:rsidR="00875B3B">
              <w:rPr/>
              <w:t>No transfer outside EU/EEA take</w:t>
            </w:r>
            <w:r w:rsidR="0EF337DF">
              <w:rPr/>
              <w:t>s</w:t>
            </w:r>
            <w:r w:rsidR="00875B3B">
              <w:rPr/>
              <w:t xml:space="preserve"> pl</w:t>
            </w:r>
            <w:r w:rsidR="003F5FED">
              <w:rPr/>
              <w:t>a</w:t>
            </w:r>
            <w:r w:rsidR="00875B3B">
              <w:rPr/>
              <w:t xml:space="preserve">ce. </w:t>
            </w:r>
            <w:proofErr w:type="spellStart"/>
            <w:proofErr w:type="spellEnd"/>
          </w:p>
        </w:tc>
      </w:tr>
      <w:tr w:rsidR="00484AC1" w:rsidTr="0453BF76" w14:paraId="7B5329CF" w14:textId="77777777">
        <w:tc>
          <w:tcPr>
            <w:tcW w:w="2547" w:type="dxa"/>
            <w:tcMar/>
          </w:tcPr>
          <w:p w:rsidR="00484AC1" w:rsidRDefault="00903C8C" w14:paraId="0675390A" w14:textId="77777777">
            <w:pPr>
              <w:jc w:val="both"/>
            </w:pPr>
            <w:r>
              <w:t>Security measures – General description</w:t>
            </w:r>
          </w:p>
        </w:tc>
        <w:tc>
          <w:tcPr>
            <w:tcW w:w="6520" w:type="dxa"/>
            <w:tcMar/>
          </w:tcPr>
          <w:p w:rsidR="00484AC1" w:rsidP="27E89909" w:rsidRDefault="0064381A" w14:noSpellErr="1" w14:paraId="3903E002" w14:textId="11575640">
            <w:pPr>
              <w:jc w:val="both"/>
              <w:rPr>
                <w:lang w:val="en-US"/>
              </w:rPr>
            </w:pPr>
            <w:r w:rsidR="0064381A">
              <w:rPr>
                <w:rStyle w:val="normaltextrun"/>
                <w:rFonts w:ascii="Calibri" w:hAnsi="Calibri" w:cs="Calibri"/>
                <w:color w:val="000000"/>
                <w:shd w:val="clear" w:color="auto" w:fill="FFFFFF"/>
              </w:rPr>
              <w:t xml:space="preserve">General security policy and technical/organisational measures applicable to </w:t>
            </w:r>
            <w:r w:rsidR="0064381A">
              <w:rPr>
                <w:rStyle w:val="normaltextrun"/>
                <w:rFonts w:ascii="Calibri" w:hAnsi="Calibri" w:cs="Calibri"/>
                <w:color w:val="000000"/>
                <w:shd w:val="clear" w:color="auto" w:fill="FFFFFF"/>
              </w:rPr>
              <w:t>ECCC’s  IT</w:t>
            </w:r>
            <w:r w:rsidR="0064381A">
              <w:rPr>
                <w:rStyle w:val="normaltextrun"/>
                <w:rFonts w:ascii="Calibri" w:hAnsi="Calibri" w:cs="Calibri"/>
                <w:color w:val="000000"/>
                <w:shd w:val="clear" w:color="auto" w:fill="FFFFFF"/>
              </w:rPr>
              <w:t xml:space="preserve"> systems and ECCC’s website.</w:t>
            </w:r>
            <w:r w:rsidR="0064381A">
              <w:rPr>
                <w:rStyle w:val="eop"/>
                <w:rFonts w:ascii="Calibri" w:hAnsi="Calibri" w:cs="Calibri"/>
                <w:color w:val="000000"/>
                <w:shd w:val="clear" w:color="auto" w:fill="FFFFFF"/>
              </w:rPr>
              <w:t> </w:t>
            </w:r>
          </w:p>
          <w:p w:rsidR="00484AC1" w:rsidRDefault="0064381A" w14:paraId="4CE4A9CE" w14:textId="1A649DF0">
            <w:pPr>
              <w:jc w:val="both"/>
            </w:pPr>
            <w:r w:rsidRPr="27E89909" w:rsidR="39BABB57">
              <w:rPr>
                <w:rFonts w:ascii="Calibri" w:hAnsi="Calibri" w:eastAsia="Calibri" w:cs="Calibri"/>
                <w:noProof w:val="0"/>
                <w:sz w:val="22"/>
                <w:szCs w:val="22"/>
                <w:lang w:val="en-IE"/>
              </w:rPr>
              <w:t>All personal data in electronic format (e-mails, documents, databases, uploaded batches of data, etc.) are stored on the servers of the European Commission. All processing operations are carried out pursuant to the Commission Decision (EU, Euratom) 2017/46 of 10 January 2017 on the security of communication and information systems in the European Commission. In order to protect your personal data, the Commission has put in place a number of technical and organisational measures.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tc>
      </w:tr>
      <w:tr w:rsidR="00484AC1" w:rsidTr="0453BF76" w14:paraId="36086DB7" w14:textId="77777777">
        <w:tc>
          <w:tcPr>
            <w:tcW w:w="2547" w:type="dxa"/>
            <w:tcMar/>
          </w:tcPr>
          <w:p w:rsidR="00484AC1" w:rsidRDefault="00903C8C" w14:paraId="4077F292" w14:textId="77777777">
            <w:pPr>
              <w:jc w:val="both"/>
              <w:rPr>
                <w:rFonts w:cstheme="minorHAnsi"/>
              </w:rPr>
            </w:pPr>
            <w:r>
              <w:rPr>
                <w:rFonts w:cstheme="minorHAnsi"/>
              </w:rPr>
              <w:t>Privacy statement</w:t>
            </w:r>
          </w:p>
        </w:tc>
        <w:tc>
          <w:tcPr>
            <w:tcW w:w="6520" w:type="dxa"/>
            <w:tcMar/>
          </w:tcPr>
          <w:p w:rsidR="00484AC1" w:rsidP="27E89909" w:rsidRDefault="00EE3D82" w14:paraId="55DDB8D4" w14:textId="382FDFA6">
            <w:pPr>
              <w:jc w:val="both"/>
              <w:rPr>
                <w:rFonts w:cs="Calibri" w:cstheme="minorAscii"/>
              </w:rPr>
            </w:pPr>
            <w:r w:rsidRPr="27E89909" w:rsidR="00EE3D82">
              <w:rPr>
                <w:rFonts w:cs="Calibri" w:cstheme="minorAscii"/>
              </w:rPr>
              <w:t xml:space="preserve">Available to ECCC </w:t>
            </w:r>
            <w:r w:rsidRPr="27E89909" w:rsidR="3F6B4111">
              <w:rPr>
                <w:rFonts w:cs="Calibri" w:cstheme="minorAscii"/>
              </w:rPr>
              <w:t>newsletter subscribers</w:t>
            </w:r>
          </w:p>
        </w:tc>
      </w:tr>
    </w:tbl>
    <w:p w:rsidR="00C02092" w:rsidP="0453BF76" w:rsidRDefault="001F44BA" w14:paraId="2CA409E8" w14:textId="56EFA877">
      <w:pPr>
        <w:pStyle w:val="Normal"/>
        <w:jc w:val="both"/>
        <w:rPr>
          <w:rFonts w:cs="Calibri" w:cstheme="minorAscii"/>
          <w:b w:val="1"/>
          <w:bCs w:val="1"/>
        </w:rPr>
      </w:pPr>
    </w:p>
    <w:sectPr w:rsidR="00484AC1" w:rsidSect="008F1017">
      <w:headerReference w:type="default" r:id="rId13"/>
      <w:footerReference w:type="default" r:id="rId14"/>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3C8C" w:rsidRDefault="00903C8C" w14:paraId="4DF52471" w14:textId="77777777">
      <w:pPr>
        <w:spacing w:after="0" w:line="240" w:lineRule="auto"/>
      </w:pPr>
      <w:r>
        <w:separator/>
      </w:r>
    </w:p>
  </w:endnote>
  <w:endnote w:type="continuationSeparator" w:id="0">
    <w:p w:rsidR="00903C8C" w:rsidRDefault="00903C8C" w14:paraId="6F0879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025060"/>
      <w:docPartObj>
        <w:docPartGallery w:val="Page Numbers (Bottom of Page)"/>
        <w:docPartUnique/>
      </w:docPartObj>
    </w:sdtPr>
    <w:sdtEndPr>
      <w:rPr>
        <w:noProof/>
      </w:rPr>
    </w:sdtEndPr>
    <w:sdtContent>
      <w:p w:rsidR="00484AC1" w:rsidRDefault="00903C8C" w14:paraId="39D34BB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84AC1" w:rsidRDefault="00484AC1" w14:paraId="7A0DB4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3C8C" w:rsidRDefault="00903C8C" w14:paraId="053BF8F2" w14:textId="77777777">
      <w:pPr>
        <w:spacing w:after="0" w:line="240" w:lineRule="auto"/>
      </w:pPr>
      <w:r>
        <w:separator/>
      </w:r>
    </w:p>
  </w:footnote>
  <w:footnote w:type="continuationSeparator" w:id="0">
    <w:p w:rsidR="00903C8C" w:rsidRDefault="00903C8C" w14:paraId="27DA82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4AC1" w:rsidRDefault="000A2FEF" w14:paraId="51CA9435" w14:textId="24717B24">
    <w:pPr>
      <w:pStyle w:val="Header"/>
      <w:jc w:val="right"/>
    </w:pPr>
    <w:r>
      <w:rPr>
        <w:rFonts w:ascii="Times New Roman"/>
        <w:noProof/>
        <w:sz w:val="20"/>
      </w:rPr>
      <w:drawing>
        <wp:anchor distT="0" distB="0" distL="114300" distR="114300" simplePos="0" relativeHeight="251658240" behindDoc="0" locked="0" layoutInCell="1" allowOverlap="1" wp14:anchorId="10F40DAE" wp14:editId="16F2DE8C">
          <wp:simplePos x="0" y="0"/>
          <wp:positionH relativeFrom="margin">
            <wp:align>left</wp:align>
          </wp:positionH>
          <wp:positionV relativeFrom="paragraph">
            <wp:posOffset>-214630</wp:posOffset>
          </wp:positionV>
          <wp:extent cx="2010018" cy="679703"/>
          <wp:effectExtent l="0" t="0" r="0" b="635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0018" cy="679703"/>
                  </a:xfrm>
                  <a:prstGeom prst="rect">
                    <a:avLst/>
                  </a:prstGeom>
                </pic:spPr>
              </pic:pic>
            </a:graphicData>
          </a:graphic>
        </wp:anchor>
      </w:drawing>
    </w:r>
    <w:r w:rsidR="27E89909">
      <w:rPr/>
      <w:t xml:space="preserve"> </w:t>
    </w:r>
    <w:r w:rsidR="27E89909">
      <w:rPr/>
      <w:t xml:space="preserve">Last Updated: </w:t>
    </w:r>
    <w:r w:rsidR="27E89909">
      <w:rPr/>
      <w:t>22</w:t>
    </w:r>
    <w:r w:rsidR="27E89909">
      <w:rPr/>
      <w:t>/0</w:t>
    </w:r>
    <w:r w:rsidR="27E89909">
      <w:rPr/>
      <w:t>4</w:t>
    </w:r>
    <w:r w:rsidR="27E89909">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594b63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42D5F"/>
    <w:multiLevelType w:val="hybridMultilevel"/>
    <w:tmpl w:val="55E4A7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F00CE9"/>
    <w:multiLevelType w:val="hybridMultilevel"/>
    <w:tmpl w:val="28DCE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02B84"/>
    <w:multiLevelType w:val="hybridMultilevel"/>
    <w:tmpl w:val="2C76238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C5E216A"/>
    <w:multiLevelType w:val="hybridMultilevel"/>
    <w:tmpl w:val="2376C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A76918"/>
    <w:multiLevelType w:val="hybridMultilevel"/>
    <w:tmpl w:val="EFCCEF2A"/>
    <w:lvl w:ilvl="0" w:tplc="3C1E986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37342B"/>
    <w:multiLevelType w:val="hybridMultilevel"/>
    <w:tmpl w:val="F956E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161714"/>
    <w:multiLevelType w:val="hybridMultilevel"/>
    <w:tmpl w:val="8CE241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F87136"/>
    <w:multiLevelType w:val="hybridMultilevel"/>
    <w:tmpl w:val="4E12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664A9"/>
    <w:multiLevelType w:val="hybridMultilevel"/>
    <w:tmpl w:val="2C30BC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096C03"/>
    <w:multiLevelType w:val="hybridMultilevel"/>
    <w:tmpl w:val="BC443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B56F64"/>
    <w:multiLevelType w:val="hybridMultilevel"/>
    <w:tmpl w:val="1474F412"/>
    <w:lvl w:ilvl="0" w:tplc="FFFFFFFF">
      <w:start w:val="1"/>
      <w:numFmt w:val="decimal"/>
      <w:lvlText w:val="%1."/>
      <w:lvlJc w:val="left"/>
      <w:pPr>
        <w:ind w:left="360" w:hanging="360"/>
      </w:pPr>
      <w:rPr>
        <w:rFonts w:asciiTheme="minorHAnsi" w:hAnsiTheme="minorHAnsi" w:eastAsiaTheme="minorHAnsi" w:cstheme="minorBidi"/>
      </w:rPr>
    </w:lvl>
    <w:lvl w:ilvl="1" w:tplc="18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0F40E6"/>
    <w:multiLevelType w:val="hybridMultilevel"/>
    <w:tmpl w:val="3F5E6410"/>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AFE1EA1"/>
    <w:multiLevelType w:val="hybridMultilevel"/>
    <w:tmpl w:val="97644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42CD1"/>
    <w:multiLevelType w:val="hybridMultilevel"/>
    <w:tmpl w:val="F9607AF0"/>
    <w:lvl w:ilvl="0" w:tplc="3C1E986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CC3A18"/>
    <w:multiLevelType w:val="hybridMultilevel"/>
    <w:tmpl w:val="0FD49DF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D2E73DF"/>
    <w:multiLevelType w:val="hybridMultilevel"/>
    <w:tmpl w:val="F2F084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DD159F8"/>
    <w:multiLevelType w:val="hybridMultilevel"/>
    <w:tmpl w:val="DFCAFF24"/>
    <w:lvl w:ilvl="0" w:tplc="8564F54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BC03FE"/>
    <w:multiLevelType w:val="hybridMultilevel"/>
    <w:tmpl w:val="917CE9B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D90774F"/>
    <w:multiLevelType w:val="hybridMultilevel"/>
    <w:tmpl w:val="18C4652A"/>
    <w:lvl w:ilvl="0" w:tplc="3C1E986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50596F"/>
    <w:multiLevelType w:val="hybridMultilevel"/>
    <w:tmpl w:val="414E98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0377A"/>
    <w:multiLevelType w:val="hybridMultilevel"/>
    <w:tmpl w:val="EBB062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1B42F81"/>
    <w:multiLevelType w:val="hybridMultilevel"/>
    <w:tmpl w:val="36E0AE2C"/>
    <w:lvl w:ilvl="0" w:tplc="3C1E986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6B47F79"/>
    <w:multiLevelType w:val="hybridMultilevel"/>
    <w:tmpl w:val="CC125EEE"/>
    <w:lvl w:ilvl="0" w:tplc="4E4C1008">
      <w:start w:val="1"/>
      <w:numFmt w:val="lowerLetter"/>
      <w:lvlText w:val="%1)"/>
      <w:lvlJc w:val="left"/>
      <w:pPr>
        <w:ind w:left="360" w:hanging="360"/>
      </w:pPr>
      <w:rPr>
        <w:rFonts w:asciiTheme="minorHAnsi" w:hAnsiTheme="minorHAnsi" w:eastAsia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6F075C2"/>
    <w:multiLevelType w:val="multilevel"/>
    <w:tmpl w:val="0700EE10"/>
    <w:styleLink w:val="CurrentList1"/>
    <w:lvl w:ilvl="0">
      <w:start w:val="1"/>
      <w:numFmt w:val="decimal"/>
      <w:lvlText w:val="%1."/>
      <w:lvlJc w:val="left"/>
      <w:pPr>
        <w:ind w:left="360" w:hanging="360"/>
      </w:pPr>
      <w:rPr>
        <w:rFonts w:asciiTheme="minorHAnsi" w:hAnsiTheme="minorHAnsi" w:eastAsia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E211DE"/>
    <w:multiLevelType w:val="hybridMultilevel"/>
    <w:tmpl w:val="04908410"/>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BC278AC"/>
    <w:multiLevelType w:val="hybridMultilevel"/>
    <w:tmpl w:val="82240E4C"/>
    <w:lvl w:ilvl="0" w:tplc="04090001">
      <w:start w:val="1"/>
      <w:numFmt w:val="bullet"/>
      <w:lvlText w:val=""/>
      <w:lvlJc w:val="left"/>
      <w:pPr>
        <w:ind w:left="827" w:hanging="360"/>
      </w:pPr>
      <w:rPr>
        <w:rFonts w:hint="default" w:ascii="Symbol" w:hAnsi="Symbol"/>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26" w15:restartNumberingAfterBreak="0">
    <w:nsid w:val="5FD07749"/>
    <w:multiLevelType w:val="hybridMultilevel"/>
    <w:tmpl w:val="3F50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24779"/>
    <w:multiLevelType w:val="hybridMultilevel"/>
    <w:tmpl w:val="52B8E01E"/>
    <w:lvl w:ilvl="0" w:tplc="3C1E986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3243925"/>
    <w:multiLevelType w:val="hybridMultilevel"/>
    <w:tmpl w:val="47108158"/>
    <w:lvl w:ilvl="0" w:tplc="C1A08E72">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3516C64"/>
    <w:multiLevelType w:val="hybridMultilevel"/>
    <w:tmpl w:val="F80C8D4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64045B"/>
    <w:multiLevelType w:val="hybridMultilevel"/>
    <w:tmpl w:val="67C2DA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683258"/>
    <w:multiLevelType w:val="hybridMultilevel"/>
    <w:tmpl w:val="0700EE10"/>
    <w:lvl w:ilvl="0" w:tplc="FFFFFFFF">
      <w:start w:val="1"/>
      <w:numFmt w:val="decimal"/>
      <w:lvlText w:val="%1."/>
      <w:lvlJc w:val="left"/>
      <w:pPr>
        <w:ind w:left="360" w:hanging="360"/>
      </w:pPr>
      <w:rPr>
        <w:rFonts w:asciiTheme="minorHAnsi" w:hAnsiTheme="minorHAnsi" w:eastAsia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DD13C17"/>
    <w:multiLevelType w:val="hybridMultilevel"/>
    <w:tmpl w:val="DA3CED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6F7F34E3"/>
    <w:multiLevelType w:val="hybridMultilevel"/>
    <w:tmpl w:val="93E2B3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C5B739A"/>
    <w:multiLevelType w:val="hybridMultilevel"/>
    <w:tmpl w:val="7D6AAAC0"/>
    <w:lvl w:ilvl="0" w:tplc="06CAF6A2">
      <w:start w:val="1"/>
      <w:numFmt w:val="decimal"/>
      <w:lvlText w:val="%1-"/>
      <w:lvlJc w:val="left"/>
      <w:pPr>
        <w:ind w:left="720" w:hanging="360"/>
      </w:pPr>
      <w:rPr>
        <w:rFonts w:asciiTheme="minorHAnsi" w:hAnsiTheme="minorHAnsi" w:eastAsia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003441"/>
    <w:multiLevelType w:val="hybridMultilevel"/>
    <w:tmpl w:val="C986C9D8"/>
    <w:lvl w:ilvl="0" w:tplc="3C1E986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E362F62"/>
    <w:multiLevelType w:val="hybridMultilevel"/>
    <w:tmpl w:val="E244D5EA"/>
    <w:lvl w:ilvl="0" w:tplc="CF4AE5B4">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41">
    <w:abstractNumId w:val="37"/>
  </w:num>
  <w:num w:numId="1">
    <w:abstractNumId w:val="28"/>
  </w:num>
  <w:num w:numId="2">
    <w:abstractNumId w:val="36"/>
  </w:num>
  <w:num w:numId="3">
    <w:abstractNumId w:val="6"/>
  </w:num>
  <w:num w:numId="4">
    <w:abstractNumId w:val="34"/>
  </w:num>
  <w:num w:numId="5">
    <w:abstractNumId w:val="8"/>
  </w:num>
  <w:num w:numId="6">
    <w:abstractNumId w:val="22"/>
  </w:num>
  <w:num w:numId="7">
    <w:abstractNumId w:val="14"/>
  </w:num>
  <w:num w:numId="8">
    <w:abstractNumId w:val="24"/>
  </w:num>
  <w:num w:numId="9">
    <w:abstractNumId w:val="11"/>
  </w:num>
  <w:num w:numId="10">
    <w:abstractNumId w:val="15"/>
  </w:num>
  <w:num w:numId="11">
    <w:abstractNumId w:val="33"/>
  </w:num>
  <w:num w:numId="12">
    <w:abstractNumId w:val="2"/>
  </w:num>
  <w:num w:numId="13">
    <w:abstractNumId w:val="0"/>
  </w:num>
  <w:num w:numId="14">
    <w:abstractNumId w:val="10"/>
  </w:num>
  <w:num w:numId="15">
    <w:abstractNumId w:val="31"/>
  </w:num>
  <w:num w:numId="16">
    <w:abstractNumId w:val="23"/>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16"/>
  </w:num>
  <w:num w:numId="24">
    <w:abstractNumId w:val="25"/>
  </w:num>
  <w:num w:numId="25">
    <w:abstractNumId w:val="9"/>
  </w:num>
  <w:num w:numId="26">
    <w:abstractNumId w:val="7"/>
  </w:num>
  <w:num w:numId="27">
    <w:abstractNumId w:val="29"/>
  </w:num>
  <w:num w:numId="28">
    <w:abstractNumId w:val="12"/>
  </w:num>
  <w:num w:numId="29">
    <w:abstractNumId w:val="5"/>
  </w:num>
  <w:num w:numId="30">
    <w:abstractNumId w:val="30"/>
  </w:num>
  <w:num w:numId="31">
    <w:abstractNumId w:val="1"/>
  </w:num>
  <w:num w:numId="32">
    <w:abstractNumId w:val="18"/>
  </w:num>
  <w:num w:numId="33">
    <w:abstractNumId w:val="21"/>
  </w:num>
  <w:num w:numId="34">
    <w:abstractNumId w:val="35"/>
  </w:num>
  <w:num w:numId="35">
    <w:abstractNumId w:val="4"/>
  </w:num>
  <w:num w:numId="36">
    <w:abstractNumId w:val="27"/>
  </w:num>
  <w:num w:numId="37">
    <w:abstractNumId w:val="13"/>
  </w:num>
  <w:num w:numId="38">
    <w:abstractNumId w:val="19"/>
  </w:num>
  <w:num w:numId="39">
    <w:abstractNumId w:val="2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C1"/>
    <w:rsid w:val="000465E0"/>
    <w:rsid w:val="00075414"/>
    <w:rsid w:val="000A2FEF"/>
    <w:rsid w:val="0012779A"/>
    <w:rsid w:val="0014209C"/>
    <w:rsid w:val="00184A28"/>
    <w:rsid w:val="001D7C54"/>
    <w:rsid w:val="001F44BA"/>
    <w:rsid w:val="00242727"/>
    <w:rsid w:val="002C56AA"/>
    <w:rsid w:val="003F5FED"/>
    <w:rsid w:val="003F7159"/>
    <w:rsid w:val="00461810"/>
    <w:rsid w:val="00484AC1"/>
    <w:rsid w:val="0050776D"/>
    <w:rsid w:val="0056734D"/>
    <w:rsid w:val="00576037"/>
    <w:rsid w:val="00586100"/>
    <w:rsid w:val="00611031"/>
    <w:rsid w:val="006253AC"/>
    <w:rsid w:val="0064381A"/>
    <w:rsid w:val="00697703"/>
    <w:rsid w:val="007D2CBB"/>
    <w:rsid w:val="007E4A61"/>
    <w:rsid w:val="00833F45"/>
    <w:rsid w:val="0084772A"/>
    <w:rsid w:val="00875B3B"/>
    <w:rsid w:val="00895D06"/>
    <w:rsid w:val="008E6443"/>
    <w:rsid w:val="008F1017"/>
    <w:rsid w:val="00903C8C"/>
    <w:rsid w:val="00981BB8"/>
    <w:rsid w:val="009910B0"/>
    <w:rsid w:val="00A63E81"/>
    <w:rsid w:val="00BB2DF3"/>
    <w:rsid w:val="00BF5CA2"/>
    <w:rsid w:val="00C02092"/>
    <w:rsid w:val="00C40D08"/>
    <w:rsid w:val="00C46EE6"/>
    <w:rsid w:val="00D56157"/>
    <w:rsid w:val="00D80EC1"/>
    <w:rsid w:val="00D9307A"/>
    <w:rsid w:val="00E205C7"/>
    <w:rsid w:val="00ED3891"/>
    <w:rsid w:val="00EE2426"/>
    <w:rsid w:val="00EE3D82"/>
    <w:rsid w:val="00F518D4"/>
    <w:rsid w:val="00F56D88"/>
    <w:rsid w:val="00FD3D4D"/>
    <w:rsid w:val="00FD684E"/>
    <w:rsid w:val="0453BF76"/>
    <w:rsid w:val="07C96FFF"/>
    <w:rsid w:val="0B339373"/>
    <w:rsid w:val="0E5354C8"/>
    <w:rsid w:val="0EF337DF"/>
    <w:rsid w:val="1378DC34"/>
    <w:rsid w:val="176EE611"/>
    <w:rsid w:val="190F4365"/>
    <w:rsid w:val="1CE83C3F"/>
    <w:rsid w:val="1DD3BF8B"/>
    <w:rsid w:val="2343458E"/>
    <w:rsid w:val="27E1D38D"/>
    <w:rsid w:val="27E89909"/>
    <w:rsid w:val="34AA516F"/>
    <w:rsid w:val="3894DB9D"/>
    <w:rsid w:val="39BABB57"/>
    <w:rsid w:val="3AC0287F"/>
    <w:rsid w:val="3D923CED"/>
    <w:rsid w:val="3E27AE05"/>
    <w:rsid w:val="3E393712"/>
    <w:rsid w:val="3F6B4111"/>
    <w:rsid w:val="46E58DAA"/>
    <w:rsid w:val="496CEB70"/>
    <w:rsid w:val="4A063279"/>
    <w:rsid w:val="510B245E"/>
    <w:rsid w:val="54684D2F"/>
    <w:rsid w:val="587EEC80"/>
    <w:rsid w:val="58B97228"/>
    <w:rsid w:val="5CE11D99"/>
    <w:rsid w:val="6259ED1B"/>
    <w:rsid w:val="6506671E"/>
    <w:rsid w:val="6AA19C28"/>
    <w:rsid w:val="6BF67D2E"/>
    <w:rsid w:val="6D8A7B5B"/>
    <w:rsid w:val="6DBDD8E1"/>
    <w:rsid w:val="77BDE633"/>
    <w:rsid w:val="7FAB24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29EFF"/>
  <w15:chartTrackingRefBased/>
  <w15:docId w15:val="{0918DB3E-C35F-44E1-ACB8-6B46C9CB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0EC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numbering" w:styleId="CurrentList1" w:customStyle="1">
    <w:name w:val="Current List1"/>
    <w:uiPriority w:val="99"/>
    <w:pPr>
      <w:numPr>
        <w:numId w:val="16"/>
      </w:numPr>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normaltextrun" w:customStyle="1">
    <w:name w:val="normaltextrun"/>
    <w:basedOn w:val="DefaultParagraphFont"/>
  </w:style>
  <w:style w:type="character" w:styleId="eop" w:customStyle="1">
    <w:name w:val="eop"/>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Pr>
      <w:rFonts w:ascii="Calibri" w:hAnsi="Calibri" w:eastAsia="Calibri" w:cs="Calibri"/>
      <w:lang w:val="en-US"/>
    </w:rPr>
  </w:style>
  <w:style w:type="character" w:styleId="UnresolvedMention">
    <w:name w:val="Unresolved Mention"/>
    <w:basedOn w:val="DefaultParagraphFont"/>
    <w:uiPriority w:val="99"/>
    <w:semiHidden/>
    <w:unhideWhenUsed/>
    <w:rPr>
      <w:color w:val="605E5C"/>
      <w:shd w:val="clear" w:color="auto" w:fill="E1DFDD"/>
    </w:rPr>
  </w:style>
  <w:style w:type="character" w:styleId="Heading1Char" w:customStyle="1">
    <w:name w:val="Heading 1 Char"/>
    <w:basedOn w:val="DefaultParagraphFont"/>
    <w:link w:val="Heading1"/>
    <w:uiPriority w:val="9"/>
    <w:rsid w:val="00D80EC1"/>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699">
      <w:bodyDiv w:val="1"/>
      <w:marLeft w:val="0"/>
      <w:marRight w:val="0"/>
      <w:marTop w:val="0"/>
      <w:marBottom w:val="0"/>
      <w:divBdr>
        <w:top w:val="none" w:sz="0" w:space="0" w:color="auto"/>
        <w:left w:val="none" w:sz="0" w:space="0" w:color="auto"/>
        <w:bottom w:val="none" w:sz="0" w:space="0" w:color="auto"/>
        <w:right w:val="none" w:sz="0" w:space="0" w:color="auto"/>
      </w:divBdr>
    </w:div>
    <w:div w:id="350760801">
      <w:bodyDiv w:val="1"/>
      <w:marLeft w:val="0"/>
      <w:marRight w:val="0"/>
      <w:marTop w:val="0"/>
      <w:marBottom w:val="0"/>
      <w:divBdr>
        <w:top w:val="none" w:sz="0" w:space="0" w:color="auto"/>
        <w:left w:val="none" w:sz="0" w:space="0" w:color="auto"/>
        <w:bottom w:val="none" w:sz="0" w:space="0" w:color="auto"/>
        <w:right w:val="none" w:sz="0" w:space="0" w:color="auto"/>
      </w:divBdr>
    </w:div>
    <w:div w:id="554852797">
      <w:bodyDiv w:val="1"/>
      <w:marLeft w:val="0"/>
      <w:marRight w:val="0"/>
      <w:marTop w:val="0"/>
      <w:marBottom w:val="0"/>
      <w:divBdr>
        <w:top w:val="none" w:sz="0" w:space="0" w:color="auto"/>
        <w:left w:val="none" w:sz="0" w:space="0" w:color="auto"/>
        <w:bottom w:val="none" w:sz="0" w:space="0" w:color="auto"/>
        <w:right w:val="none" w:sz="0" w:space="0" w:color="auto"/>
      </w:divBdr>
    </w:div>
    <w:div w:id="833642931">
      <w:bodyDiv w:val="1"/>
      <w:marLeft w:val="0"/>
      <w:marRight w:val="0"/>
      <w:marTop w:val="0"/>
      <w:marBottom w:val="0"/>
      <w:divBdr>
        <w:top w:val="none" w:sz="0" w:space="0" w:color="auto"/>
        <w:left w:val="none" w:sz="0" w:space="0" w:color="auto"/>
        <w:bottom w:val="none" w:sz="0" w:space="0" w:color="auto"/>
        <w:right w:val="none" w:sz="0" w:space="0" w:color="auto"/>
      </w:divBdr>
    </w:div>
    <w:div w:id="1329869216">
      <w:bodyDiv w:val="1"/>
      <w:marLeft w:val="0"/>
      <w:marRight w:val="0"/>
      <w:marTop w:val="0"/>
      <w:marBottom w:val="0"/>
      <w:divBdr>
        <w:top w:val="none" w:sz="0" w:space="0" w:color="auto"/>
        <w:left w:val="none" w:sz="0" w:space="0" w:color="auto"/>
        <w:bottom w:val="none" w:sz="0" w:space="0" w:color="auto"/>
        <w:right w:val="none" w:sz="0" w:space="0" w:color="auto"/>
      </w:divBdr>
    </w:div>
    <w:div w:id="1521118976">
      <w:bodyDiv w:val="1"/>
      <w:marLeft w:val="0"/>
      <w:marRight w:val="0"/>
      <w:marTop w:val="0"/>
      <w:marBottom w:val="0"/>
      <w:divBdr>
        <w:top w:val="none" w:sz="0" w:space="0" w:color="auto"/>
        <w:left w:val="none" w:sz="0" w:space="0" w:color="auto"/>
        <w:bottom w:val="none" w:sz="0" w:space="0" w:color="auto"/>
        <w:right w:val="none" w:sz="0" w:space="0" w:color="auto"/>
      </w:divBdr>
    </w:div>
    <w:div w:id="1745251283">
      <w:bodyDiv w:val="1"/>
      <w:marLeft w:val="0"/>
      <w:marRight w:val="0"/>
      <w:marTop w:val="0"/>
      <w:marBottom w:val="0"/>
      <w:divBdr>
        <w:top w:val="none" w:sz="0" w:space="0" w:color="auto"/>
        <w:left w:val="none" w:sz="0" w:space="0" w:color="auto"/>
        <w:bottom w:val="none" w:sz="0" w:space="0" w:color="auto"/>
        <w:right w:val="none" w:sz="0" w:space="0" w:color="auto"/>
      </w:divBdr>
    </w:div>
    <w:div w:id="1980190306">
      <w:bodyDiv w:val="1"/>
      <w:marLeft w:val="0"/>
      <w:marRight w:val="0"/>
      <w:marTop w:val="0"/>
      <w:marBottom w:val="0"/>
      <w:divBdr>
        <w:top w:val="none" w:sz="0" w:space="0" w:color="auto"/>
        <w:left w:val="none" w:sz="0" w:space="0" w:color="auto"/>
        <w:bottom w:val="none" w:sz="0" w:space="0" w:color="auto"/>
        <w:right w:val="none" w:sz="0" w:space="0" w:color="auto"/>
      </w:divBdr>
    </w:div>
    <w:div w:id="21158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fa5b3-ff1a-4273-802a-de4d3a79be30" xsi:nil="true"/>
    <lcf76f155ced4ddcb4097134ff3c332f xmlns="16407f52-adb4-4bdd-9b6b-e05ff6371a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F34D2E4A26643BFE6A8DC71F6C8DE" ma:contentTypeVersion="13" ma:contentTypeDescription="Create a new document." ma:contentTypeScope="" ma:versionID="53cf44fbed887cc4510b5d82efc563e2">
  <xsd:schema xmlns:xsd="http://www.w3.org/2001/XMLSchema" xmlns:xs="http://www.w3.org/2001/XMLSchema" xmlns:p="http://schemas.microsoft.com/office/2006/metadata/properties" xmlns:ns2="16407f52-adb4-4bdd-9b6b-e05ff6371a6b" xmlns:ns3="3b2fa5b3-ff1a-4273-802a-de4d3a79be30" targetNamespace="http://schemas.microsoft.com/office/2006/metadata/properties" ma:root="true" ma:fieldsID="9bd5773054610eead2c42a4e8c851a83" ns2:_="" ns3:_="">
    <xsd:import namespace="16407f52-adb4-4bdd-9b6b-e05ff6371a6b"/>
    <xsd:import namespace="3b2fa5b3-ff1a-4273-802a-de4d3a79be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7f52-adb4-4bdd-9b6b-e05ff6371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1e7c85-5697-4169-8760-745f83eb4a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fa5b3-ff1a-4273-802a-de4d3a79be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2cc11-2dba-45a0-9259-dbdcf55134ac}" ma:internalName="TaxCatchAll" ma:showField="CatchAllData" ma:web="3b2fa5b3-ff1a-4273-802a-de4d3a79b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1078D-D2C2-436A-82CC-18066F58E871}">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b2fa5b3-ff1a-4273-802a-de4d3a79be30"/>
    <ds:schemaRef ds:uri="16407f52-adb4-4bdd-9b6b-e05ff6371a6b"/>
    <ds:schemaRef ds:uri="http://schemas.microsoft.com/office/2006/metadata/properties"/>
  </ds:schemaRefs>
</ds:datastoreItem>
</file>

<file path=customXml/itemProps2.xml><?xml version="1.0" encoding="utf-8"?>
<ds:datastoreItem xmlns:ds="http://schemas.openxmlformats.org/officeDocument/2006/customXml" ds:itemID="{09E37AE8-4386-4982-9582-BB50D153C92D}">
  <ds:schemaRefs>
    <ds:schemaRef ds:uri="http://schemas.microsoft.com/sharepoint/v3/contenttype/forms"/>
  </ds:schemaRefs>
</ds:datastoreItem>
</file>

<file path=customXml/itemProps3.xml><?xml version="1.0" encoding="utf-8"?>
<ds:datastoreItem xmlns:ds="http://schemas.openxmlformats.org/officeDocument/2006/customXml" ds:itemID="{2E9A3A29-6768-45E7-ABD4-3B44121D7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7f52-adb4-4bdd-9b6b-e05ff6371a6b"/>
    <ds:schemaRef ds:uri="3b2fa5b3-ff1a-4273-802a-de4d3a79b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VAHLGREN Frederik (CNECT)</dc:creator>
  <keywords/>
  <dc:description/>
  <lastModifiedBy>Prokopios Drogkaris</lastModifiedBy>
  <revision>50</revision>
  <dcterms:created xsi:type="dcterms:W3CDTF">2024-12-03T11:45:00.0000000Z</dcterms:created>
  <dcterms:modified xsi:type="dcterms:W3CDTF">2025-04-23T09:10:55.2469013Z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2023-04-26T15:09:58Z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0e8f60d7-3f36-447d-99d5-3c5b7173a8e0</vt:lpwstr>
  </property>
  <property fmtid="{D5CDD505-2E9C-101B-9397-08002B2CF9AE}" pid="8" name="MSIP_Label_6bd9ddd1-4d20-43f6-abfa-fc3c07406f94_ContentBits">
    <vt:lpwstr>0</vt:lpwstr>
  </property>
  <property fmtid="{D5CDD505-2E9C-101B-9397-08002B2CF9AE}" pid="9" name="ContentTypeId">
    <vt:lpwstr>0x010100D99F34D2E4A26643BFE6A8DC71F6C8DE</vt:lpwstr>
  </property>
  <property fmtid="{D5CDD505-2E9C-101B-9397-08002B2CF9AE}" pid="10" name="MediaServiceImageTags">
    <vt:lpwstr/>
  </property>
</Properties>
</file>